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934AB5" w:rsidRPr="00934AB5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07A10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207A10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РЕГИСТРАЦИЯ НА РЕЙС И ОФОРМЛЕНИЕ БАГАЖА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15E1F" w:rsidRDefault="00315E1F" w:rsidP="00315E1F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  <w:bookmarkStart w:id="0" w:name="_GoBack"/>
      <w:bookmarkEnd w:id="0"/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07A10" w:rsidRDefault="00207A10" w:rsidP="00207A1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Грузию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207A10" w:rsidRDefault="00207A10" w:rsidP="00207A10">
      <w:pPr>
        <w:spacing w:line="221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207A10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97CB8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97CB8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5E31BE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26A0E" w:rsidRPr="005E31BE" w:rsidRDefault="00FD124E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Танзанию</w:t>
      </w: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оформляется по прилету или в дипмиссиях Танзании на срок до 90 дней. 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в Танзанию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www</w:t>
        </w:r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val="ru-RU" w:eastAsia="ru-RU"/>
          </w:rPr>
          <w:t>.</w:t>
        </w:r>
        <w:proofErr w:type="spellStart"/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anextour</w:t>
        </w:r>
        <w:proofErr w:type="spellEnd"/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val="ru-RU" w:eastAsia="ru-RU"/>
          </w:rPr>
          <w:t>.</w:t>
        </w:r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com</w:t>
        </w:r>
      </w:hyperlink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5E31BE" w:rsidRDefault="00207A10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5E31BE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5E31BE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39342E" w:rsidRDefault="0039342E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39342E" w:rsidRDefault="008A1AE9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39342E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39342E" w:rsidRDefault="0039342E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Нарушение правил перемещения сувенирной продукции из материалов животного происхождения через границу Танзании приравнивается к серьезным правонарушениям и грозит длительным судебным разбирательством, выплатой крупных штрафов и, в отдельных случаях, тюремным заключением на срок до 5 лет.</w:t>
      </w:r>
    </w:p>
    <w:p w:rsidR="00783BDA" w:rsidRPr="0039342E" w:rsidRDefault="00783BDA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0C07C7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0C07C7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39342E" w:rsidRDefault="000C07C7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9342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Для въезда в Танзанию необходим сертификат о вакцинации против желтой лихорадки. Перед поездкой в Танзанию также рекомендуется провести иммунизацию против гепатита A и столбняка. За 7 дней до поездки необходимо начать прием противомалярийных препаратов и закончить прием через 2-3 недели после возвращения домой.</w:t>
      </w:r>
      <w:r w:rsidR="00207A10" w:rsidRPr="0039342E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7851E9" w:rsidRDefault="00207A10" w:rsidP="007851E9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7851E9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7851E9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207A10" w:rsidRPr="007851E9" w:rsidRDefault="007851E9" w:rsidP="007851E9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7851E9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7851E9" w:rsidRDefault="007851E9" w:rsidP="004C6176">
      <w:pPr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</w:pPr>
    </w:p>
    <w:p w:rsidR="00934AB5" w:rsidRPr="00783BDA" w:rsidRDefault="00934AB5" w:rsidP="004C6176">
      <w:pPr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783BDA"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  <w:t>О ТАНЗАНИИ</w:t>
      </w:r>
    </w:p>
    <w:p w:rsidR="009F0AF2" w:rsidRPr="00934AB5" w:rsidRDefault="00934AB5" w:rsidP="00951EA1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34AB5">
        <w:rPr>
          <w:rFonts w:ascii="Times New Roman" w:hAnsi="Times New Roman" w:cs="Times New Roman"/>
          <w:sz w:val="18"/>
          <w:szCs w:val="18"/>
          <w:lang w:val="ru-RU"/>
        </w:rPr>
        <w:lastRenderedPageBreak/>
        <w:t>Объединённая Республика Танзания является государством в Восточной Африке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со столицей Додома</w:t>
      </w:r>
      <w:r w:rsidRPr="00934AB5">
        <w:rPr>
          <w:rFonts w:ascii="Times New Roman" w:hAnsi="Times New Roman" w:cs="Times New Roman"/>
          <w:sz w:val="18"/>
          <w:szCs w:val="18"/>
          <w:lang w:val="ru-RU"/>
        </w:rPr>
        <w:t>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34AB5">
        <w:rPr>
          <w:rFonts w:ascii="Times New Roman" w:hAnsi="Times New Roman" w:cs="Times New Roman"/>
          <w:sz w:val="18"/>
          <w:szCs w:val="18"/>
          <w:lang w:val="ru-RU"/>
        </w:rPr>
        <w:t>Территория страны занимает 945 087 км²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B22B5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207A10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BB22B5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951EA1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убэкваториальный. На севере два сезона дождей (март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951EA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BB22B5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официальными языками являются 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суахили, английский</w:t>
      </w:r>
      <w:r w:rsidR="009E785B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группы банту</w:t>
      </w:r>
      <w:r w:rsidR="009E785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3506E7" w:rsidRDefault="003506E7" w:rsidP="0039342E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506E7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3506E7">
        <w:rPr>
          <w:rFonts w:ascii="Times New Roman" w:hAnsi="Times New Roman" w:cs="Times New Roman"/>
          <w:sz w:val="18"/>
          <w:szCs w:val="18"/>
        </w:rPr>
        <w:t>TZS</w:t>
      </w:r>
      <w:r w:rsidRPr="003506E7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9E785B" w:rsidRDefault="009E785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156F0F">
        <w:rPr>
          <w:rFonts w:ascii="Times New Roman" w:hAnsi="Times New Roman" w:cs="Times New Roman"/>
          <w:sz w:val="18"/>
          <w:szCs w:val="18"/>
          <w:lang w:val="ru-RU"/>
        </w:rPr>
        <w:t xml:space="preserve"> человек.</w:t>
      </w:r>
      <w:r w:rsidR="00156F0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Default="009E785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На материковой части около 12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% населения придерживается ме</w:t>
      </w:r>
      <w:r>
        <w:rPr>
          <w:rFonts w:ascii="Times New Roman" w:hAnsi="Times New Roman" w:cs="Times New Roman"/>
          <w:sz w:val="18"/>
          <w:szCs w:val="18"/>
          <w:lang w:val="ru-RU"/>
        </w:rPr>
        <w:t>стных традиционных верований, 30% — мусульмане, 55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%</w:t>
      </w:r>
      <w:r>
        <w:rPr>
          <w:rFonts w:ascii="Times New Roman" w:hAnsi="Times New Roman" w:cs="Times New Roman"/>
          <w:sz w:val="18"/>
          <w:szCs w:val="18"/>
          <w:lang w:val="ru-RU"/>
        </w:rPr>
        <w:t>-60%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 xml:space="preserve"> — христиане, на Занзибаре почти 99% населения исповедуют ислам.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297CB8" w:rsidRDefault="00297CB8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D35B62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207A10" w:rsidRDefault="00207A10" w:rsidP="000C07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Default="00D612D4" w:rsidP="00D35B6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</w:t>
      </w:r>
      <w:r w:rsidRPr="00D612D4">
        <w:rPr>
          <w:rFonts w:ascii="Times New Roman" w:hAnsi="Times New Roman" w:cs="Times New Roman"/>
          <w:sz w:val="18"/>
          <w:szCs w:val="18"/>
          <w:lang w:val="ru-RU"/>
        </w:rPr>
        <w:t>25 декабря</w:t>
      </w:r>
      <w:r>
        <w:rPr>
          <w:rFonts w:ascii="Times New Roman" w:hAnsi="Times New Roman" w:cs="Times New Roman"/>
          <w:sz w:val="18"/>
          <w:szCs w:val="18"/>
          <w:lang w:val="ru-RU"/>
        </w:rPr>
        <w:t>;</w:t>
      </w:r>
      <w:r w:rsidRPr="00D612D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9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декабр</w:t>
      </w:r>
      <w:r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12 ян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Default="00A06B1B" w:rsidP="000C07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5E31BE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D35B62">
        <w:rPr>
          <w:rFonts w:ascii="Times New Roman" w:hAnsi="Times New Roman" w:cs="Times New Roman"/>
          <w:sz w:val="18"/>
          <w:szCs w:val="18"/>
          <w:lang w:val="ru-RU"/>
        </w:rPr>
        <w:t>В Танзании распространены розетки британского образца, поэтому россияна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м необходимо заранее приобрести </w:t>
      </w:r>
      <w:r w:rsidRPr="00D35B62">
        <w:rPr>
          <w:rFonts w:ascii="Times New Roman" w:hAnsi="Times New Roman" w:cs="Times New Roman"/>
          <w:sz w:val="18"/>
          <w:szCs w:val="18"/>
          <w:lang w:val="ru-RU"/>
        </w:rPr>
        <w:t xml:space="preserve">адаптор. </w:t>
      </w:r>
      <w:r w:rsidRPr="005E31BE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5E31BE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5E31BE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5E31BE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5E31BE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A06B1B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A06B1B" w:rsidRDefault="00C17B80" w:rsidP="00A06B1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D612D4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612D4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D612D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D612D4" w:rsidRDefault="00D612D4" w:rsidP="00D612D4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612D4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то лишены минимального комфорта. </w:t>
      </w:r>
      <w:r w:rsidRPr="005E31BE">
        <w:rPr>
          <w:rFonts w:ascii="Times New Roman" w:hAnsi="Times New Roman" w:cs="Times New Roman"/>
          <w:color w:val="auto"/>
          <w:sz w:val="18"/>
          <w:szCs w:val="18"/>
          <w:lang w:val="ru-RU"/>
        </w:rPr>
        <w:t>Постоянное расписание отправлений и прибытий транспорта отсутствует.</w:t>
      </w:r>
    </w:p>
    <w:p w:rsidR="00D612D4" w:rsidRDefault="00F2702D" w:rsidP="00D6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D3699A" w:rsidRPr="00D612D4" w:rsidRDefault="00D3699A" w:rsidP="00D6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99A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</w:t>
      </w:r>
      <w:r w:rsidR="00D612D4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F2702D" w:rsidRPr="00F2702D" w:rsidRDefault="00F2702D" w:rsidP="00D3699A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F2702D" w:rsidRPr="00F2702D" w:rsidRDefault="00F2702D" w:rsidP="00665FC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ручную кладь, особенно ценные вещи и деньги.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2702D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Default="00F2702D" w:rsidP="00F270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9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10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proofErr w:type="spellEnd"/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8E77DC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1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EC71BF">
        <w:rPr>
          <w:sz w:val="17"/>
          <w:szCs w:val="17"/>
        </w:rPr>
        <w:t>8</w:t>
      </w:r>
      <w:r>
        <w:rPr>
          <w:sz w:val="17"/>
          <w:szCs w:val="17"/>
        </w:rPr>
        <w:t xml:space="preserve"> год</w:t>
      </w:r>
    </w:p>
    <w:sectPr w:rsidR="00740363" w:rsidRPr="005A3135" w:rsidSect="005A3135">
      <w:headerReference w:type="default" r:id="rId12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DC" w:rsidRDefault="008E77DC" w:rsidP="00A06B1B">
      <w:pPr>
        <w:spacing w:line="240" w:lineRule="auto"/>
      </w:pPr>
      <w:r>
        <w:separator/>
      </w:r>
    </w:p>
  </w:endnote>
  <w:endnote w:type="continuationSeparator" w:id="0">
    <w:p w:rsidR="008E77DC" w:rsidRDefault="008E77DC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DC" w:rsidRDefault="008E77DC" w:rsidP="00A06B1B">
      <w:pPr>
        <w:spacing w:line="240" w:lineRule="auto"/>
      </w:pPr>
      <w:r>
        <w:separator/>
      </w:r>
    </w:p>
  </w:footnote>
  <w:footnote w:type="continuationSeparator" w:id="0">
    <w:p w:rsidR="008E77DC" w:rsidRDefault="008E77DC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ZfllbpyDoHzREcB/rh0m61AHOvH4CFCxPalbmElxDgJ7Gp/3UaBafXlZRgUNf2ayRL6MbzSFiqcnj2Vxsj/yA==" w:salt="6wrSwqRQXsZT5g8+shxa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639CC"/>
    <w:rsid w:val="000C07C7"/>
    <w:rsid w:val="000E72F6"/>
    <w:rsid w:val="00156F0F"/>
    <w:rsid w:val="00207A10"/>
    <w:rsid w:val="00222ADA"/>
    <w:rsid w:val="00297CB8"/>
    <w:rsid w:val="002C10FE"/>
    <w:rsid w:val="00315E1F"/>
    <w:rsid w:val="0033389E"/>
    <w:rsid w:val="003506E7"/>
    <w:rsid w:val="0039342E"/>
    <w:rsid w:val="00451418"/>
    <w:rsid w:val="004548D7"/>
    <w:rsid w:val="004712A1"/>
    <w:rsid w:val="004C6176"/>
    <w:rsid w:val="005A3135"/>
    <w:rsid w:val="005E31BE"/>
    <w:rsid w:val="00665FC1"/>
    <w:rsid w:val="00740363"/>
    <w:rsid w:val="0076357A"/>
    <w:rsid w:val="00783BDA"/>
    <w:rsid w:val="007851E9"/>
    <w:rsid w:val="00806DB5"/>
    <w:rsid w:val="00863656"/>
    <w:rsid w:val="008A1AE9"/>
    <w:rsid w:val="008E534D"/>
    <w:rsid w:val="008E77DC"/>
    <w:rsid w:val="00934AB5"/>
    <w:rsid w:val="00951EA1"/>
    <w:rsid w:val="009E785B"/>
    <w:rsid w:val="009F0AF2"/>
    <w:rsid w:val="00A06B1B"/>
    <w:rsid w:val="00A85B93"/>
    <w:rsid w:val="00BB22B5"/>
    <w:rsid w:val="00BD73CB"/>
    <w:rsid w:val="00C17B80"/>
    <w:rsid w:val="00C27052"/>
    <w:rsid w:val="00D35B62"/>
    <w:rsid w:val="00D3699A"/>
    <w:rsid w:val="00D57C6C"/>
    <w:rsid w:val="00D612D4"/>
    <w:rsid w:val="00E67E36"/>
    <w:rsid w:val="00EC71BF"/>
    <w:rsid w:val="00F26A0E"/>
    <w:rsid w:val="00F2702D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72D5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a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brusstanz@mi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C5D6-FF0F-4F5F-84D4-2E5E0A2B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3469</Words>
  <Characters>19776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13</cp:revision>
  <dcterms:created xsi:type="dcterms:W3CDTF">2017-05-26T10:16:00Z</dcterms:created>
  <dcterms:modified xsi:type="dcterms:W3CDTF">2018-07-04T11:05:00Z</dcterms:modified>
</cp:coreProperties>
</file>