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1135"/>
        <w:tblW w:w="9781" w:type="dxa"/>
        <w:tblBorders>
          <w:bottom w:val="single" w:sz="4" w:space="0" w:color="2A5A78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261"/>
        <w:gridCol w:w="1481"/>
        <w:gridCol w:w="5039"/>
      </w:tblGrid>
      <w:tr w:rsidR="002D580A" w:rsidTr="00414BD1">
        <w:trPr>
          <w:trHeight w:val="1245"/>
        </w:trPr>
        <w:tc>
          <w:tcPr>
            <w:tcW w:w="3261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2553A2" w:rsidRDefault="002D580A" w:rsidP="00D477A8">
            <w:pPr>
              <w:pStyle w:val="ContactName"/>
              <w:spacing w:line="240" w:lineRule="auto"/>
              <w:jc w:val="both"/>
              <w:rPr>
                <w:sz w:val="18"/>
                <w:szCs w:val="18"/>
              </w:rPr>
            </w:pPr>
            <w:r w:rsidRPr="00D477A8">
              <w:rPr>
                <w:sz w:val="18"/>
                <w:szCs w:val="18"/>
              </w:rPr>
              <w:t xml:space="preserve">Контакты отдела по связям с общественностью: </w:t>
            </w:r>
          </w:p>
          <w:p w:rsidR="00DA766A" w:rsidRPr="00D477A8" w:rsidRDefault="00DA766A" w:rsidP="00D477A8">
            <w:pPr>
              <w:pStyle w:val="ContactName"/>
              <w:spacing w:line="240" w:lineRule="auto"/>
              <w:jc w:val="both"/>
              <w:rPr>
                <w:sz w:val="18"/>
                <w:szCs w:val="18"/>
              </w:rPr>
            </w:pPr>
          </w:p>
          <w:p w:rsidR="002D580A" w:rsidRPr="00D477A8" w:rsidRDefault="002D580A" w:rsidP="00D477A8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 w:rsidRPr="00D477A8">
              <w:rPr>
                <w:rFonts w:ascii="Century Gothic" w:hAnsi="Century Gothic"/>
                <w:color w:val="1F497D" w:themeColor="text2"/>
                <w:sz w:val="18"/>
                <w:szCs w:val="18"/>
              </w:rPr>
              <w:t>Тел.: </w:t>
            </w:r>
            <w:hyperlink r:id="rId8" w:history="1">
              <w:r w:rsidRPr="00D477A8">
                <w:rPr>
                  <w:rFonts w:ascii="Century Gothic" w:hAnsi="Century Gothic"/>
                  <w:color w:val="1F497D" w:themeColor="text2"/>
                  <w:sz w:val="18"/>
                  <w:szCs w:val="18"/>
                </w:rPr>
                <w:t>+7 (499) 654-04-04</w:t>
              </w:r>
            </w:hyperlink>
          </w:p>
          <w:p w:rsidR="002D580A" w:rsidRDefault="002D580A" w:rsidP="00D477A8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 w:rsidRPr="00D477A8">
              <w:rPr>
                <w:rFonts w:ascii="Century Gothic" w:hAnsi="Century Gothic"/>
                <w:color w:val="1F497D" w:themeColor="text2"/>
                <w:sz w:val="18"/>
                <w:szCs w:val="18"/>
                <w:lang w:val="en-US"/>
              </w:rPr>
              <w:t>E</w:t>
            </w:r>
            <w:r w:rsidRPr="00264E19">
              <w:rPr>
                <w:rFonts w:ascii="Century Gothic" w:hAnsi="Century Gothic"/>
                <w:color w:val="1F497D" w:themeColor="text2"/>
                <w:sz w:val="18"/>
                <w:szCs w:val="18"/>
              </w:rPr>
              <w:t>-</w:t>
            </w:r>
            <w:r w:rsidRPr="00D477A8">
              <w:rPr>
                <w:rFonts w:ascii="Century Gothic" w:hAnsi="Century Gothic"/>
                <w:color w:val="1F497D" w:themeColor="text2"/>
                <w:sz w:val="18"/>
                <w:szCs w:val="18"/>
                <w:lang w:val="en-US"/>
              </w:rPr>
              <w:t>mail</w:t>
            </w:r>
            <w:r w:rsidRPr="00264E19">
              <w:rPr>
                <w:rFonts w:ascii="Century Gothic" w:hAnsi="Century Gothic"/>
                <w:color w:val="1F497D" w:themeColor="text2"/>
                <w:sz w:val="18"/>
                <w:szCs w:val="18"/>
              </w:rPr>
              <w:t>:</w:t>
            </w:r>
            <w:r w:rsidRPr="00D477A8">
              <w:rPr>
                <w:rFonts w:ascii="Century Gothic" w:hAnsi="Century Gothic"/>
                <w:color w:val="1F497D" w:themeColor="text2"/>
                <w:sz w:val="18"/>
                <w:szCs w:val="18"/>
                <w:lang w:val="en-US"/>
              </w:rPr>
              <w:t> </w:t>
            </w:r>
            <w:hyperlink r:id="rId9" w:history="1">
              <w:r w:rsidRPr="00D477A8">
                <w:rPr>
                  <w:rFonts w:ascii="Century Gothic" w:hAnsi="Century Gothic"/>
                  <w:color w:val="1F497D" w:themeColor="text2"/>
                  <w:sz w:val="18"/>
                  <w:szCs w:val="18"/>
                  <w:lang w:val="en-US"/>
                </w:rPr>
                <w:t>pr</w:t>
              </w:r>
              <w:r w:rsidRPr="00264E19">
                <w:rPr>
                  <w:rFonts w:ascii="Century Gothic" w:hAnsi="Century Gothic"/>
                  <w:color w:val="1F497D" w:themeColor="text2"/>
                  <w:sz w:val="18"/>
                  <w:szCs w:val="18"/>
                </w:rPr>
                <w:t>@</w:t>
              </w:r>
              <w:r w:rsidRPr="00D477A8">
                <w:rPr>
                  <w:rFonts w:ascii="Century Gothic" w:hAnsi="Century Gothic"/>
                  <w:color w:val="1F497D" w:themeColor="text2"/>
                  <w:sz w:val="18"/>
                  <w:szCs w:val="18"/>
                  <w:lang w:val="en-US"/>
                </w:rPr>
                <w:t>anextour</w:t>
              </w:r>
              <w:r w:rsidRPr="00264E19">
                <w:rPr>
                  <w:rFonts w:ascii="Century Gothic" w:hAnsi="Century Gothic"/>
                  <w:color w:val="1F497D" w:themeColor="text2"/>
                  <w:sz w:val="18"/>
                  <w:szCs w:val="18"/>
                </w:rPr>
                <w:t>.</w:t>
              </w:r>
              <w:r w:rsidRPr="00D477A8">
                <w:rPr>
                  <w:rFonts w:ascii="Century Gothic" w:hAnsi="Century Gothic"/>
                  <w:color w:val="1F497D" w:themeColor="text2"/>
                  <w:sz w:val="18"/>
                  <w:szCs w:val="18"/>
                  <w:lang w:val="en-US"/>
                </w:rPr>
                <w:t>com</w:t>
              </w:r>
            </w:hyperlink>
          </w:p>
          <w:p w:rsidR="00207EE5" w:rsidRPr="00264E19" w:rsidRDefault="008D1E1E" w:rsidP="00D477A8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hyperlink r:id="rId10" w:history="1">
              <w:r w:rsidR="00D54024" w:rsidRPr="00D54024">
                <w:rPr>
                  <w:rStyle w:val="a7"/>
                  <w:rFonts w:ascii="Century Gothic" w:hAnsi="Century Gothic"/>
                  <w:sz w:val="18"/>
                  <w:szCs w:val="18"/>
                </w:rPr>
                <w:t>Читать все пресс-релизы</w:t>
              </w:r>
            </w:hyperlink>
          </w:p>
          <w:p w:rsidR="002553A2" w:rsidRDefault="008D1E1E" w:rsidP="00D477A8">
            <w:pPr>
              <w:pStyle w:val="ContactInformation"/>
              <w:spacing w:line="240" w:lineRule="auto"/>
              <w:rPr>
                <w:rFonts w:cs="Helvetica"/>
                <w:sz w:val="18"/>
                <w:szCs w:val="18"/>
                <w:shd w:val="clear" w:color="auto" w:fill="FFFFFF"/>
              </w:rPr>
            </w:pPr>
            <w:hyperlink r:id="rId11" w:history="1">
              <w:r w:rsidR="002D580A" w:rsidRPr="004E40C6">
                <w:rPr>
                  <w:rStyle w:val="a7"/>
                  <w:rFonts w:cs="Helvetica"/>
                  <w:sz w:val="18"/>
                  <w:szCs w:val="18"/>
                  <w:shd w:val="clear" w:color="auto" w:fill="FFFFFF"/>
                </w:rPr>
                <w:t xml:space="preserve">Скачать логотип </w:t>
              </w:r>
              <w:r w:rsidR="002D580A" w:rsidRPr="004E40C6">
                <w:rPr>
                  <w:rStyle w:val="a7"/>
                  <w:rFonts w:cs="Helvetica"/>
                  <w:sz w:val="18"/>
                  <w:szCs w:val="18"/>
                  <w:shd w:val="clear" w:color="auto" w:fill="FFFFFF"/>
                  <w:lang w:val="en-US"/>
                </w:rPr>
                <w:t>ANEX</w:t>
              </w:r>
              <w:r w:rsidR="002D580A" w:rsidRPr="004E40C6">
                <w:rPr>
                  <w:rStyle w:val="a7"/>
                  <w:rFonts w:cs="Helvetica"/>
                  <w:sz w:val="18"/>
                  <w:szCs w:val="18"/>
                  <w:shd w:val="clear" w:color="auto" w:fill="FFFFFF"/>
                </w:rPr>
                <w:t xml:space="preserve"> </w:t>
              </w:r>
              <w:r w:rsidR="002D580A" w:rsidRPr="004E40C6">
                <w:rPr>
                  <w:rStyle w:val="a7"/>
                  <w:rFonts w:cs="Helvetica"/>
                  <w:sz w:val="18"/>
                  <w:szCs w:val="18"/>
                  <w:shd w:val="clear" w:color="auto" w:fill="FFFFFF"/>
                  <w:lang w:val="en-US"/>
                </w:rPr>
                <w:t>Tour</w:t>
              </w:r>
              <w:r w:rsidR="002D580A" w:rsidRPr="004E40C6">
                <w:rPr>
                  <w:rStyle w:val="a7"/>
                  <w:rFonts w:cs="Helvetica"/>
                  <w:sz w:val="18"/>
                  <w:szCs w:val="18"/>
                  <w:shd w:val="clear" w:color="auto" w:fill="FFFFFF"/>
                </w:rPr>
                <w:t xml:space="preserve"> (.</w:t>
              </w:r>
              <w:r w:rsidR="002D580A" w:rsidRPr="004E40C6">
                <w:rPr>
                  <w:rStyle w:val="a7"/>
                  <w:rFonts w:cs="Helvetica"/>
                  <w:sz w:val="18"/>
                  <w:szCs w:val="18"/>
                  <w:shd w:val="clear" w:color="auto" w:fill="FFFFFF"/>
                  <w:lang w:val="en-US"/>
                </w:rPr>
                <w:t>pdf</w:t>
              </w:r>
              <w:r w:rsidR="002D580A" w:rsidRPr="004E40C6">
                <w:rPr>
                  <w:rStyle w:val="a7"/>
                  <w:rFonts w:cs="Helvetica"/>
                  <w:sz w:val="18"/>
                  <w:szCs w:val="18"/>
                  <w:shd w:val="clear" w:color="auto" w:fill="FFFFFF"/>
                </w:rPr>
                <w:t>)</w:t>
              </w:r>
            </w:hyperlink>
          </w:p>
          <w:p w:rsidR="00207EE5" w:rsidRPr="00264E19" w:rsidRDefault="00207EE5" w:rsidP="00D477A8">
            <w:pPr>
              <w:pStyle w:val="ContactInformation"/>
              <w:spacing w:line="240" w:lineRule="auto"/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2553A2" w:rsidRPr="00264E19" w:rsidRDefault="002553A2" w:rsidP="002D580A">
            <w:pPr>
              <w:pStyle w:val="ContactInformation"/>
            </w:pP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264E19" w:rsidRDefault="004E40C6" w:rsidP="004E40C6">
            <w:pPr>
              <w:pStyle w:val="2"/>
              <w:ind w:firstLine="1304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21840" cy="1200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ex_Tour_logo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257" b="20383"/>
                          <a:stretch/>
                        </pic:blipFill>
                        <pic:spPr bwMode="auto">
                          <a:xfrm>
                            <a:off x="0" y="0"/>
                            <a:ext cx="2021840" cy="120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64E19" w:rsidRDefault="00264E19">
            <w:pPr>
              <w:pStyle w:val="2"/>
              <w:rPr>
                <w:noProof/>
              </w:rPr>
            </w:pPr>
          </w:p>
          <w:p w:rsidR="002553A2" w:rsidRDefault="002553A2" w:rsidP="00264E19">
            <w:pPr>
              <w:pStyle w:val="2"/>
              <w:jc w:val="left"/>
            </w:pPr>
          </w:p>
        </w:tc>
      </w:tr>
    </w:tbl>
    <w:p w:rsidR="002553A2" w:rsidRPr="009A65D8" w:rsidRDefault="002553A2" w:rsidP="00FB000E">
      <w:pPr>
        <w:pStyle w:val="1"/>
        <w:rPr>
          <w:sz w:val="56"/>
        </w:rPr>
      </w:pPr>
      <w:r w:rsidRPr="009A65D8">
        <w:rPr>
          <w:sz w:val="56"/>
        </w:rPr>
        <w:t>Пресс-релиз</w:t>
      </w:r>
    </w:p>
    <w:p w:rsidR="001D6BC8" w:rsidRDefault="00CE7E87" w:rsidP="00FB000E">
      <w:pPr>
        <w:pStyle w:val="Text"/>
        <w:jc w:val="right"/>
        <w:rPr>
          <w:rStyle w:val="BoldTextChar"/>
          <w:b w:val="0"/>
        </w:rPr>
      </w:pPr>
      <w:r>
        <w:rPr>
          <w:rStyle w:val="BoldTextChar"/>
          <w:b w:val="0"/>
        </w:rPr>
        <w:t>27</w:t>
      </w:r>
      <w:r w:rsidR="00BC12ED">
        <w:rPr>
          <w:rStyle w:val="BoldTextChar"/>
          <w:b w:val="0"/>
        </w:rPr>
        <w:t>.10.2017</w:t>
      </w:r>
    </w:p>
    <w:p w:rsidR="00334C50" w:rsidRDefault="004F510A" w:rsidP="008506B6">
      <w:pPr>
        <w:pStyle w:val="Text"/>
        <w:rPr>
          <w:rStyle w:val="BoldTextChar"/>
          <w:b w:val="0"/>
        </w:rPr>
      </w:pPr>
      <w:r w:rsidRPr="004F510A">
        <w:rPr>
          <w:rStyle w:val="BoldTextChar"/>
          <w:b w:val="0"/>
        </w:rPr>
        <w:t xml:space="preserve">В АССОРТИМЕНТЕ </w:t>
      </w:r>
      <w:r>
        <w:rPr>
          <w:rStyle w:val="BoldTextChar"/>
          <w:b w:val="0"/>
          <w:lang w:val="en-US"/>
        </w:rPr>
        <w:t>ANEX</w:t>
      </w:r>
      <w:r w:rsidRPr="004F510A">
        <w:rPr>
          <w:rStyle w:val="BoldTextChar"/>
          <w:b w:val="0"/>
        </w:rPr>
        <w:t xml:space="preserve"> </w:t>
      </w:r>
      <w:r>
        <w:rPr>
          <w:rStyle w:val="BoldTextChar"/>
          <w:b w:val="0"/>
          <w:lang w:val="en-US"/>
        </w:rPr>
        <w:t>TOUR</w:t>
      </w:r>
      <w:r w:rsidRPr="004F510A">
        <w:rPr>
          <w:rStyle w:val="BoldTextChar"/>
          <w:b w:val="0"/>
        </w:rPr>
        <w:t xml:space="preserve"> </w:t>
      </w:r>
      <w:r w:rsidR="00092B39">
        <w:rPr>
          <w:rStyle w:val="BoldTextChar"/>
          <w:b w:val="0"/>
        </w:rPr>
        <w:t xml:space="preserve">ПОЯВИЛИСЬ </w:t>
      </w:r>
      <w:r w:rsidRPr="004F510A">
        <w:rPr>
          <w:rStyle w:val="BoldTextChar"/>
          <w:b w:val="0"/>
        </w:rPr>
        <w:t xml:space="preserve">ГОРНОЛЫЖНЫЕ КУРОРТЫ ИТАЛИИ </w:t>
      </w:r>
    </w:p>
    <w:p w:rsidR="00092B39" w:rsidRDefault="00092B39" w:rsidP="00092B39">
      <w:pPr>
        <w:rPr>
          <w:b/>
          <w:color w:val="404040" w:themeColor="text1" w:themeTint="BF"/>
        </w:rPr>
      </w:pPr>
      <w:r w:rsidRPr="00092B39">
        <w:rPr>
          <w:b/>
          <w:color w:val="404040" w:themeColor="text1" w:themeTint="BF"/>
        </w:rPr>
        <w:t>В пятницу, 27 октября многопрофильный туроператор ANEX Tour анонсировал открытие продаж горнолыжных курортов Италии на базе прямых перелетов в Верону.</w:t>
      </w:r>
    </w:p>
    <w:p w:rsidR="00092B39" w:rsidRPr="00092B39" w:rsidRDefault="00092B39" w:rsidP="00414BD1">
      <w:pPr>
        <w:spacing w:line="360" w:lineRule="auto"/>
        <w:rPr>
          <w:b/>
          <w:color w:val="404040" w:themeColor="text1" w:themeTint="BF"/>
        </w:rPr>
      </w:pPr>
    </w:p>
    <w:p w:rsidR="00092B39" w:rsidRPr="00092B39" w:rsidRDefault="00092B39" w:rsidP="00092B39">
      <w:r w:rsidRPr="00092B39">
        <w:t>В новом сезоне 2017/18 туроператор ANEX Tour продолжил развивать горнолыжные направления. Так, помимо уже полюбившихся клиентам туров в Андорру и Болгарию, туроператор добавил в ас</w:t>
      </w:r>
      <w:r>
        <w:t>сортимент еще одно направление –</w:t>
      </w:r>
      <w:r w:rsidRPr="00092B39">
        <w:t xml:space="preserve"> Италию. Горнолыжные туры оператора в Италию базируются на прямых рейсах из Москвы из Санкт-Петербурга в Верону </w:t>
      </w:r>
      <w:r w:rsidRPr="00092B39">
        <w:rPr>
          <w:b/>
        </w:rPr>
        <w:t>S7 Airlines</w:t>
      </w:r>
      <w:r w:rsidRPr="00092B39">
        <w:t xml:space="preserve"> (авиакомпания «Сибирь»), которые выполняются </w:t>
      </w:r>
      <w:proofErr w:type="gramStart"/>
      <w:r w:rsidRPr="00092B39">
        <w:t>из</w:t>
      </w:r>
      <w:proofErr w:type="gramEnd"/>
      <w:r w:rsidRPr="00092B39">
        <w:t xml:space="preserve"> а/п Домодедово и а/п Пулково каждую неделю, по субботам. Полетная программа начинается с 23.12.2017 и продлится по </w:t>
      </w:r>
      <w:r>
        <w:t>конец марта 2018.</w:t>
      </w:r>
    </w:p>
    <w:p w:rsidR="00092B39" w:rsidRPr="00092B39" w:rsidRDefault="00092B39" w:rsidP="00092B39"/>
    <w:p w:rsidR="00092B39" w:rsidRPr="00092B39" w:rsidRDefault="00092B39" w:rsidP="00092B39">
      <w:r w:rsidRPr="00092B39">
        <w:t xml:space="preserve">Перелеты в Верону позволят доставить туристов на курорты </w:t>
      </w:r>
      <w:r w:rsidR="004B0135">
        <w:t>региона Доломиты</w:t>
      </w:r>
      <w:bookmarkStart w:id="0" w:name="_GoBack"/>
      <w:bookmarkEnd w:id="0"/>
      <w:r>
        <w:t xml:space="preserve"> (Валь-ди-</w:t>
      </w:r>
      <w:r w:rsidRPr="00092B39">
        <w:t>Фасса,</w:t>
      </w:r>
      <w:r>
        <w:t xml:space="preserve"> Пинцоло, Мадонна-ди-</w:t>
      </w:r>
      <w:r w:rsidRPr="00092B39">
        <w:t xml:space="preserve">Кампильо). </w:t>
      </w:r>
    </w:p>
    <w:p w:rsidR="00092B39" w:rsidRPr="00092B39" w:rsidRDefault="00092B39" w:rsidP="00092B39"/>
    <w:p w:rsidR="00092B39" w:rsidRPr="00092B39" w:rsidRDefault="00092B39" w:rsidP="00092B39">
      <w:r w:rsidRPr="00092B39">
        <w:t>Вне зависимости от выбранного типа тарифа (без багажа/с багажом) каждому пассажиру предоставляется право бесплатно провезти один комплект горнолыжного/сноубо</w:t>
      </w:r>
      <w:r>
        <w:t>рдического снаряжения, состоящего из одн</w:t>
      </w:r>
      <w:r w:rsidRPr="00092B39">
        <w:t>ой пары го</w:t>
      </w:r>
      <w:r>
        <w:t xml:space="preserve">рных лыж с лыжными палками или </w:t>
      </w:r>
      <w:r w:rsidRPr="00092B39">
        <w:t>сноуборда и дополнительного снаряжения (ботинки, шлемы, очки) общей массой не более 23 кг для тарифов экономического класса обслуживания и не более 32 кг для тарифов бизнес-класса обслуживания. Чехол весом свыше 32 кг оплачивается как негабаритный багаж.</w:t>
      </w:r>
      <w:r>
        <w:t xml:space="preserve"> О</w:t>
      </w:r>
      <w:r w:rsidRPr="00092B39">
        <w:t>граничения по размеру, установленные для регистр</w:t>
      </w:r>
      <w:r>
        <w:t>ируемого багажа, не применяются.</w:t>
      </w:r>
    </w:p>
    <w:p w:rsidR="008506B6" w:rsidRPr="00092B39" w:rsidRDefault="00092B39" w:rsidP="00092B39">
      <w:r w:rsidRPr="00092B39">
        <w:br/>
        <w:t xml:space="preserve">По словам руководителя направления Италия </w:t>
      </w:r>
      <w:r w:rsidRPr="00092B39">
        <w:rPr>
          <w:b/>
        </w:rPr>
        <w:t xml:space="preserve">Романа </w:t>
      </w:r>
      <w:proofErr w:type="spellStart"/>
      <w:r w:rsidRPr="00092B39">
        <w:rPr>
          <w:b/>
        </w:rPr>
        <w:t>Шахтарина</w:t>
      </w:r>
      <w:proofErr w:type="spellEnd"/>
      <w:r w:rsidRPr="00092B39">
        <w:t>, горнолыжные курорты Италии располагают ухоженными трассами разной категории сложности и р</w:t>
      </w:r>
      <w:r>
        <w:t>азвитой инфраструктурой, которая</w:t>
      </w:r>
      <w:r w:rsidRPr="00092B39">
        <w:t xml:space="preserve"> открывает массу возможностей для разнообразного отдыха. Помимо лыж туристам предлагается катание по бобслейной трассе, на лошадях, снегоходах, полет на параплане. Досуг помогут также заполнить спортивный центр, боулинг, бассейн, фитне</w:t>
      </w:r>
      <w:r>
        <w:t>с-центр, каток. На курорте Валь-ди-</w:t>
      </w:r>
      <w:proofErr w:type="spellStart"/>
      <w:r w:rsidRPr="00092B39">
        <w:t>Фассе</w:t>
      </w:r>
      <w:proofErr w:type="spellEnd"/>
      <w:r w:rsidRPr="00092B39">
        <w:t xml:space="preserve"> можно снять усталость в большом спортивном центре с олимпийским бассейном и фитнес-комплексом с сауной и массажными кабинетами. Аналогичным центром располагает и курорт Валь </w:t>
      </w:r>
      <w:proofErr w:type="spellStart"/>
      <w:r w:rsidRPr="00092B39">
        <w:t>Гардена</w:t>
      </w:r>
      <w:proofErr w:type="spellEnd"/>
      <w:r w:rsidRPr="00092B39">
        <w:t>, в котором есть боулинг, спортивный центр, бассейн и банный комплекс.</w:t>
      </w:r>
    </w:p>
    <w:p w:rsidR="008506B6" w:rsidRDefault="008506B6" w:rsidP="008506B6">
      <w:pPr>
        <w:rPr>
          <w:rFonts w:ascii="Candara" w:hAnsi="Candara" w:cs="Calibri"/>
          <w:sz w:val="22"/>
          <w:szCs w:val="22"/>
          <w:lang w:eastAsia="en-US"/>
        </w:rPr>
      </w:pPr>
    </w:p>
    <w:p w:rsidR="008506B6" w:rsidRPr="008506B6" w:rsidRDefault="008506B6" w:rsidP="00FB000E">
      <w:pPr>
        <w:pStyle w:val="Text"/>
        <w:jc w:val="right"/>
        <w:rPr>
          <w:rStyle w:val="BoldTextChar"/>
          <w:b w:val="0"/>
        </w:rPr>
      </w:pPr>
    </w:p>
    <w:p w:rsidR="00BC12ED" w:rsidRPr="00DA766A" w:rsidRDefault="00BC12ED" w:rsidP="00FB000E">
      <w:pPr>
        <w:pStyle w:val="Text"/>
        <w:jc w:val="right"/>
        <w:rPr>
          <w:b/>
        </w:rPr>
      </w:pPr>
    </w:p>
    <w:p w:rsidR="002553A2" w:rsidRPr="00FB000E" w:rsidRDefault="002553A2" w:rsidP="00FB000E">
      <w:pPr>
        <w:pStyle w:val="a6"/>
        <w:shd w:val="clear" w:color="auto" w:fill="FFFFFF"/>
        <w:rPr>
          <w:rFonts w:ascii="Century Gothic" w:hAnsi="Century Gothic" w:cs="Arial"/>
          <w:color w:val="333333"/>
          <w:sz w:val="18"/>
          <w:szCs w:val="18"/>
        </w:rPr>
      </w:pPr>
    </w:p>
    <w:sectPr w:rsidR="002553A2" w:rsidRPr="00FB000E" w:rsidSect="00CA017A">
      <w:headerReference w:type="even" r:id="rId13"/>
      <w:footerReference w:type="default" r:id="rId14"/>
      <w:headerReference w:type="first" r:id="rId15"/>
      <w:pgSz w:w="11909" w:h="16834" w:code="9"/>
      <w:pgMar w:top="1987" w:right="1440" w:bottom="2160" w:left="1440" w:header="965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E1E" w:rsidRDefault="008D1E1E">
      <w:r>
        <w:separator/>
      </w:r>
    </w:p>
    <w:p w:rsidR="008D1E1E" w:rsidRDefault="008D1E1E"/>
  </w:endnote>
  <w:endnote w:type="continuationSeparator" w:id="0">
    <w:p w:rsidR="008D1E1E" w:rsidRDefault="008D1E1E">
      <w:r>
        <w:continuationSeparator/>
      </w:r>
    </w:p>
    <w:p w:rsidR="008D1E1E" w:rsidRDefault="008D1E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7A" w:rsidRPr="00CA017A" w:rsidRDefault="00CA017A">
    <w:pPr>
      <w:pStyle w:val="a4"/>
    </w:pPr>
    <w:r w:rsidRPr="00CA017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E1E" w:rsidRDefault="008D1E1E">
      <w:r>
        <w:separator/>
      </w:r>
    </w:p>
    <w:p w:rsidR="008D1E1E" w:rsidRDefault="008D1E1E"/>
  </w:footnote>
  <w:footnote w:type="continuationSeparator" w:id="0">
    <w:p w:rsidR="008D1E1E" w:rsidRDefault="008D1E1E">
      <w:r>
        <w:continuationSeparator/>
      </w:r>
    </w:p>
    <w:p w:rsidR="008D1E1E" w:rsidRDefault="008D1E1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3A2" w:rsidRDefault="002553A2">
    <w:pPr>
      <w:pStyle w:val="a3"/>
    </w:pPr>
  </w:p>
  <w:p w:rsidR="002553A2" w:rsidRDefault="002553A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7A" w:rsidRPr="00CA017A" w:rsidRDefault="00CA017A">
    <w:pPr>
      <w:pStyle w:val="a3"/>
    </w:pPr>
    <w:r w:rsidRPr="00CA017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07E"/>
    <w:multiLevelType w:val="multilevel"/>
    <w:tmpl w:val="72CC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A97305"/>
    <w:multiLevelType w:val="hybridMultilevel"/>
    <w:tmpl w:val="8BB8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0A"/>
    <w:rsid w:val="00092B39"/>
    <w:rsid w:val="000B711B"/>
    <w:rsid w:val="000C5F78"/>
    <w:rsid w:val="000D37D2"/>
    <w:rsid w:val="00130818"/>
    <w:rsid w:val="00160399"/>
    <w:rsid w:val="00197029"/>
    <w:rsid w:val="001D6BC8"/>
    <w:rsid w:val="00202FD2"/>
    <w:rsid w:val="00207EE5"/>
    <w:rsid w:val="00234898"/>
    <w:rsid w:val="002553A2"/>
    <w:rsid w:val="00264E19"/>
    <w:rsid w:val="0027650E"/>
    <w:rsid w:val="002D580A"/>
    <w:rsid w:val="00321276"/>
    <w:rsid w:val="00334C50"/>
    <w:rsid w:val="003E43D0"/>
    <w:rsid w:val="00414BD1"/>
    <w:rsid w:val="00415032"/>
    <w:rsid w:val="0044635D"/>
    <w:rsid w:val="004B0135"/>
    <w:rsid w:val="004E40C6"/>
    <w:rsid w:val="004F510A"/>
    <w:rsid w:val="005B21D8"/>
    <w:rsid w:val="005D1342"/>
    <w:rsid w:val="00687CB1"/>
    <w:rsid w:val="006F6E1F"/>
    <w:rsid w:val="00715E40"/>
    <w:rsid w:val="00790C32"/>
    <w:rsid w:val="00795CDC"/>
    <w:rsid w:val="007C6DF9"/>
    <w:rsid w:val="008506B6"/>
    <w:rsid w:val="00870F04"/>
    <w:rsid w:val="00872AB5"/>
    <w:rsid w:val="008A08B6"/>
    <w:rsid w:val="008D1E1E"/>
    <w:rsid w:val="008F0984"/>
    <w:rsid w:val="00952FA1"/>
    <w:rsid w:val="00962D57"/>
    <w:rsid w:val="00990E8E"/>
    <w:rsid w:val="009A40B1"/>
    <w:rsid w:val="009A65D8"/>
    <w:rsid w:val="009A76BD"/>
    <w:rsid w:val="00AB5EA6"/>
    <w:rsid w:val="00AE761D"/>
    <w:rsid w:val="00AE78EF"/>
    <w:rsid w:val="00B12315"/>
    <w:rsid w:val="00B55791"/>
    <w:rsid w:val="00BA6C41"/>
    <w:rsid w:val="00BC12ED"/>
    <w:rsid w:val="00BC14F2"/>
    <w:rsid w:val="00BD6359"/>
    <w:rsid w:val="00C2219A"/>
    <w:rsid w:val="00C8641D"/>
    <w:rsid w:val="00CA017A"/>
    <w:rsid w:val="00CD02EA"/>
    <w:rsid w:val="00CE449F"/>
    <w:rsid w:val="00CE7E87"/>
    <w:rsid w:val="00D477A8"/>
    <w:rsid w:val="00D54024"/>
    <w:rsid w:val="00D80DC3"/>
    <w:rsid w:val="00DA766A"/>
    <w:rsid w:val="00DE189F"/>
    <w:rsid w:val="00E94967"/>
    <w:rsid w:val="00EA63C4"/>
    <w:rsid w:val="00F25CD3"/>
    <w:rsid w:val="00F33EBF"/>
    <w:rsid w:val="00F53FCB"/>
    <w:rsid w:val="00F56138"/>
    <w:rsid w:val="00FA32B5"/>
    <w:rsid w:val="00FB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60648"/>
  <w15:docId w15:val="{2FB21A8A-F9C3-4B30-A533-3CCA1AA4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entury Gothic" w:hAnsi="Century Gothic" w:cs="Century Gothic"/>
      <w:spacing w:val="-5"/>
      <w:sz w:val="18"/>
      <w:szCs w:val="18"/>
      <w:lang w:val="ru-RU" w:eastAsia="ru-RU"/>
    </w:rPr>
  </w:style>
  <w:style w:type="paragraph" w:styleId="1">
    <w:name w:val="heading 1"/>
    <w:basedOn w:val="a"/>
    <w:next w:val="a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2">
    <w:name w:val="heading 2"/>
    <w:basedOn w:val="1"/>
    <w:next w:val="a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right" w:pos="9360"/>
      </w:tabs>
    </w:pPr>
    <w:rPr>
      <w:b/>
      <w:caps/>
      <w:color w:val="2A5A78"/>
    </w:rPr>
  </w:style>
  <w:style w:type="paragraph" w:styleId="a4">
    <w:name w:val="footer"/>
    <w:basedOn w:val="a"/>
    <w:pPr>
      <w:tabs>
        <w:tab w:val="right" w:pos="9360"/>
      </w:tabs>
    </w:pPr>
    <w:rPr>
      <w:b/>
      <w:caps/>
      <w:color w:val="2A5A78"/>
    </w:rPr>
  </w:style>
  <w:style w:type="paragraph" w:styleId="a5">
    <w:name w:val="Balloon Text"/>
    <w:basedOn w:val="a"/>
    <w:semiHidden/>
    <w:rPr>
      <w:sz w:val="16"/>
      <w:szCs w:val="16"/>
    </w:rPr>
  </w:style>
  <w:style w:type="paragraph" w:customStyle="1" w:styleId="ContactInformation">
    <w:name w:val="Contact Information"/>
    <w:basedOn w:val="a"/>
    <w:pPr>
      <w:spacing w:line="180" w:lineRule="exact"/>
    </w:pPr>
    <w:rPr>
      <w:color w:val="2A5A78"/>
      <w:sz w:val="16"/>
      <w:szCs w:val="16"/>
      <w:lang w:bidi="ru-RU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a"/>
    <w:pPr>
      <w:spacing w:after="600"/>
    </w:pPr>
    <w:rPr>
      <w:i/>
      <w:color w:val="2A5A78"/>
      <w:sz w:val="22"/>
      <w:szCs w:val="22"/>
      <w:lang w:bidi="ru-RU"/>
    </w:rPr>
  </w:style>
  <w:style w:type="character" w:customStyle="1" w:styleId="TextChar">
    <w:name w:val="Text Char"/>
    <w:basedOn w:val="a0"/>
    <w:link w:val="Text"/>
    <w:locked/>
    <w:rPr>
      <w:rFonts w:ascii="Century Gothic" w:hAnsi="Century Gothic" w:hint="default"/>
      <w:sz w:val="18"/>
      <w:szCs w:val="18"/>
      <w:lang w:val="ru-RU" w:eastAsia="ru-RU" w:bidi="ru-RU"/>
    </w:rPr>
  </w:style>
  <w:style w:type="paragraph" w:customStyle="1" w:styleId="Text">
    <w:name w:val="Text"/>
    <w:basedOn w:val="a"/>
    <w:link w:val="TextChar"/>
    <w:pPr>
      <w:spacing w:after="220" w:line="336" w:lineRule="auto"/>
    </w:pPr>
    <w:rPr>
      <w:spacing w:val="0"/>
      <w:lang w:bidi="ru-RU"/>
    </w:rPr>
  </w:style>
  <w:style w:type="character" w:customStyle="1" w:styleId="BoldTextChar">
    <w:name w:val="Bold Text Char"/>
    <w:basedOn w:val="TextChar"/>
    <w:link w:val="BoldText"/>
    <w:locked/>
    <w:rPr>
      <w:rFonts w:ascii="Century Gothic" w:hAnsi="Century Gothic" w:hint="default"/>
      <w:b/>
      <w:bCs w:val="0"/>
      <w:sz w:val="18"/>
      <w:szCs w:val="18"/>
      <w:lang w:val="ru-RU" w:eastAsia="ru-RU" w:bidi="ru-RU"/>
    </w:rPr>
  </w:style>
  <w:style w:type="paragraph" w:customStyle="1" w:styleId="BoldText">
    <w:name w:val="Bold Text"/>
    <w:basedOn w:val="Text"/>
    <w:link w:val="BoldTextChar"/>
    <w:rPr>
      <w:b/>
    </w:rPr>
  </w:style>
  <w:style w:type="paragraph" w:styleId="a6">
    <w:name w:val="Normal (Web)"/>
    <w:basedOn w:val="a"/>
    <w:uiPriority w:val="99"/>
    <w:unhideWhenUsed/>
    <w:rsid w:val="002D580A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  <w:style w:type="character" w:styleId="a7">
    <w:name w:val="Hyperlink"/>
    <w:basedOn w:val="a0"/>
    <w:uiPriority w:val="99"/>
    <w:unhideWhenUsed/>
    <w:rsid w:val="002D580A"/>
    <w:rPr>
      <w:color w:val="0000FF"/>
      <w:u w:val="single"/>
    </w:rPr>
  </w:style>
  <w:style w:type="character" w:customStyle="1" w:styleId="w">
    <w:name w:val="w"/>
    <w:basedOn w:val="a0"/>
    <w:rsid w:val="002D580A"/>
  </w:style>
  <w:style w:type="paragraph" w:styleId="a8">
    <w:name w:val="List Paragraph"/>
    <w:basedOn w:val="a"/>
    <w:uiPriority w:val="34"/>
    <w:qFormat/>
    <w:rsid w:val="00BD6359"/>
    <w:pPr>
      <w:ind w:left="720"/>
      <w:contextualSpacing/>
    </w:pPr>
  </w:style>
  <w:style w:type="character" w:styleId="a9">
    <w:name w:val="Emphasis"/>
    <w:basedOn w:val="a0"/>
    <w:uiPriority w:val="20"/>
    <w:qFormat/>
    <w:rsid w:val="00F56138"/>
    <w:rPr>
      <w:i/>
      <w:iCs/>
    </w:rPr>
  </w:style>
  <w:style w:type="character" w:styleId="aa">
    <w:name w:val="Strong"/>
    <w:basedOn w:val="a0"/>
    <w:uiPriority w:val="22"/>
    <w:qFormat/>
    <w:rsid w:val="00197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fe:tel:007499654040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B6vIuZKY3Nng6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anextour.com/page/46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@anextour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88;&#1077;&#1089;&#1089;-&#1088;&#1077;&#1083;&#1080;&#107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AF6D8EC-FF3B-465D-8568-3F3AFDF9DA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Контактное лицо: Евгений Куликов</vt:lpstr>
    </vt:vector>
  </TitlesOfParts>
  <Manager/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2004-01-13T20:03:00Z</cp:lastPrinted>
  <dcterms:created xsi:type="dcterms:W3CDTF">2017-11-07T15:47:00Z</dcterms:created>
  <dcterms:modified xsi:type="dcterms:W3CDTF">2017-11-07T15:47:00Z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TC010197751049</vt:lpwstr>
  </property>
</Properties>
</file>