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CB51CA">
        <w:rPr>
          <w:b/>
        </w:rPr>
        <w:t xml:space="preserve"> Куба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CB51CA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на Кубу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CB51C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на Кубе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BC3D8E" w:rsidRDefault="00BC3D8E" w:rsidP="00BC3D8E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4E01BD" w:rsidRPr="004E01BD" w:rsidRDefault="004E01BD" w:rsidP="00BC3D8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="00EB062E"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BC3D8E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BC3D8E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C06899" w:rsidRDefault="00C06899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E01BD" w:rsidTr="00BC3D8E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13,5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E01BD" w:rsidTr="00BC3D8E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20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E01BD" w:rsidTr="00BC3D8E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30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440378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440378" w:rsidRPr="00A751CB" w:rsidRDefault="00440378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здоровья</w:t>
      </w:r>
      <w:proofErr w:type="gramEnd"/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застрахованного; близких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супруги/супруга застрахованного;</w:t>
      </w:r>
    </w:p>
    <w:p w:rsidR="00A97A57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 и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ли ее/его близких родственников;</w:t>
      </w:r>
    </w:p>
    <w:p w:rsidR="00BA41FF" w:rsidRPr="00A751CB" w:rsidRDefault="00E72B6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путешествующих с ним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супруга/супруги;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A41FF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или по причине их смерти</w:t>
      </w:r>
      <w:r w:rsidR="0062332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623325" w:rsidRDefault="00623325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3E18C3" w:rsidRDefault="003E18C3" w:rsidP="003E18C3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3E18C3" w:rsidRPr="00F775AA" w:rsidRDefault="003E18C3" w:rsidP="003E18C3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3E18C3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C3" w:rsidRPr="00F775AA" w:rsidRDefault="003E18C3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C3" w:rsidRPr="00F775AA" w:rsidRDefault="003E18C3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C3" w:rsidRPr="00F775AA" w:rsidRDefault="003E18C3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3E18C3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8C3" w:rsidRPr="00FA3FD5" w:rsidRDefault="003E18C3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C3" w:rsidRPr="00FA3FD5" w:rsidRDefault="003E18C3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C3" w:rsidRPr="00FA3FD5" w:rsidRDefault="003E18C3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3E18C3" w:rsidRPr="00EA3245" w:rsidRDefault="003E18C3" w:rsidP="003E18C3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3E18C3" w:rsidRPr="00EA3245" w:rsidRDefault="003E18C3" w:rsidP="003E18C3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3E18C3" w:rsidRDefault="003E18C3" w:rsidP="003E18C3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 xml:space="preserve"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</w:t>
      </w:r>
      <w:r w:rsidRPr="00EA3245">
        <w:rPr>
          <w:rFonts w:ascii="Times New Roman" w:hAnsi="Times New Roman"/>
        </w:rPr>
        <w:lastRenderedPageBreak/>
        <w:t>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5370FB" w:rsidRDefault="005370FB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1B3F85" w:rsidRPr="00C41C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F32AD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Шаблоны заявлений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получение страхового возмещения: </w:t>
      </w:r>
    </w:p>
    <w:p w:rsidR="001B3F85" w:rsidRPr="009B0CA3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Медицинские расходы - </w:t>
      </w:r>
      <w:hyperlink r:id="rId8" w:history="1">
        <w:r w:rsidR="00DD6BCB" w:rsidRPr="009B0CA3">
          <w:rPr>
            <w:rStyle w:val="a8"/>
            <w:sz w:val="20"/>
            <w:szCs w:val="20"/>
          </w:rPr>
          <w:t>https://www.ingos.ru/Upload/info/incident/travel/zvl_na_vplt_med.doc</w:t>
        </w:r>
      </w:hyperlink>
      <w:r w:rsidR="00DD6BCB" w:rsidRPr="009B0CA3">
        <w:rPr>
          <w:sz w:val="20"/>
          <w:szCs w:val="20"/>
        </w:rPr>
        <w:t xml:space="preserve"> </w:t>
      </w:r>
    </w:p>
    <w:p w:rsidR="001B3F85" w:rsidRPr="00A751CB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Страхование </w:t>
      </w:r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отмены поездки - </w:t>
      </w:r>
      <w:hyperlink r:id="rId9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hyperlink r:id="rId10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https://www.ingos.ru/Upload/info/incident/travel/nvzd-child.doc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CC301C" w:rsidRPr="00A751CB" w:rsidRDefault="00CC301C" w:rsidP="00934C75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B3F85" w:rsidRPr="00A751C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101D" w:rsidRDefault="00C41C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117997, Москва, </w:t>
      </w:r>
      <w:r w:rsid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ул. Большая Тульская, дом 10, стр. 9</w:t>
      </w:r>
    </w:p>
    <w:p w:rsidR="00F6101D" w:rsidRDefault="00F6101D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СПАО «Ингосстрах» </w:t>
      </w:r>
      <w:r w:rsidR="001B3F85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Отдел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регулирования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претензий п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л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ичному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 и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мущественному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трахованию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УУУРБ ДУУРБ</w:t>
      </w:r>
    </w:p>
    <w:p w:rsidR="001B3F85" w:rsidRPr="00FE288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E288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 возмещение расходов по страховым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случа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ям 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 застрахованных осуществляется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адресу: </w:t>
      </w:r>
    </w:p>
    <w:p w:rsidR="00FE288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117997, Москва, ул. Большая Тульская, дом 10, стр. 9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00035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Время приема: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пн -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18:00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 xml:space="preserve">Тел.: +7 (495) 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232-34-65/69</w:t>
      </w:r>
    </w:p>
    <w:p w:rsidR="0013228A" w:rsidRPr="002166CE" w:rsidRDefault="0013228A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e</w:t>
      </w:r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: </w:t>
      </w:r>
      <w:hyperlink r:id="rId11" w:history="1"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tourclaims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@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ingos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.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ru</w:t>
        </w:r>
      </w:hyperlink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1B3F85" w:rsidRPr="00A751C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13228A" w:rsidRPr="00A751CB" w:rsidRDefault="0013228A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114C4B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6E" w:rsidRDefault="0079546E" w:rsidP="00440378">
      <w:pPr>
        <w:spacing w:after="0" w:line="240" w:lineRule="auto"/>
      </w:pPr>
      <w:r>
        <w:separator/>
      </w:r>
    </w:p>
  </w:endnote>
  <w:end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8C3">
          <w:rPr>
            <w:noProof/>
          </w:rPr>
          <w:t>3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6E" w:rsidRDefault="0079546E" w:rsidP="00440378">
      <w:pPr>
        <w:spacing w:after="0" w:line="240" w:lineRule="auto"/>
      </w:pPr>
      <w:r>
        <w:separator/>
      </w:r>
    </w:p>
  </w:footnote>
  <w:foot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42901"/>
    <w:rsid w:val="00372F1F"/>
    <w:rsid w:val="0038088F"/>
    <w:rsid w:val="00380A02"/>
    <w:rsid w:val="003A311E"/>
    <w:rsid w:val="003C5869"/>
    <w:rsid w:val="003C71DF"/>
    <w:rsid w:val="003E18C3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E2914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9546E"/>
    <w:rsid w:val="007D399B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51CB"/>
    <w:rsid w:val="00A80123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1471C"/>
    <w:rsid w:val="00C41C85"/>
    <w:rsid w:val="00C46AF6"/>
    <w:rsid w:val="00C7796E"/>
    <w:rsid w:val="00CB2C8C"/>
    <w:rsid w:val="00CB51CA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BF47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incident/travel/zvl_na_vplt_med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claims@ing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gos.ru/Upload/info/incident/travel/nvzd-chil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incident/travel/nvz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573A-EFD2-4CBE-BD45-7A2A1BF8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Anna. Sharonova</cp:lastModifiedBy>
  <cp:revision>3</cp:revision>
  <dcterms:created xsi:type="dcterms:W3CDTF">2018-03-29T15:47:00Z</dcterms:created>
  <dcterms:modified xsi:type="dcterms:W3CDTF">2018-03-30T14:01:00Z</dcterms:modified>
</cp:coreProperties>
</file>