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5" w:rsidRPr="008A0EDF" w:rsidRDefault="00014615" w:rsidP="00014615">
      <w:pPr>
        <w:jc w:val="center"/>
        <w:rPr>
          <w:rFonts w:ascii="Verdana" w:hAnsi="Verdana"/>
          <w:b/>
          <w:u w:val="single"/>
        </w:rPr>
      </w:pPr>
      <w:r w:rsidRPr="008A0EDF">
        <w:rPr>
          <w:rFonts w:ascii="Verdana" w:hAnsi="Verdana"/>
          <w:b/>
          <w:u w:val="single"/>
        </w:rPr>
        <w:t>Программа «ПОЛНОЕ ПОКРЫТИЕ ПЛЮС»</w:t>
      </w:r>
    </w:p>
    <w:p w:rsidR="00E14CA8" w:rsidRPr="008A0EDF" w:rsidRDefault="008A0EDF" w:rsidP="008A0EDF">
      <w:pPr>
        <w:ind w:left="-75"/>
        <w:jc w:val="center"/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</w:pPr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Андорра, Бельгия, Болгария, Венгрия, Греция, Испания, Италия, Кипр, Маврикий, Мальта, Марокко, Нидерланды</w:t>
      </w:r>
      <w:r w:rsidRPr="008A0EDF">
        <w:rPr>
          <w:rFonts w:ascii="Verdana" w:hAnsi="Verdana" w:cstheme="minorHAnsi"/>
          <w:b/>
          <w:color w:val="17365D" w:themeColor="text2" w:themeShade="BF"/>
          <w:sz w:val="18"/>
          <w:szCs w:val="20"/>
        </w:rPr>
        <w:t>,</w:t>
      </w:r>
      <w:r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 xml:space="preserve"> Португалия, Сейшельские о-в</w:t>
      </w:r>
      <w:r w:rsidRPr="008A0EDF">
        <w:rPr>
          <w:rFonts w:ascii="Verdana" w:hAnsi="Verdana" w:cstheme="minorHAnsi"/>
          <w:b/>
          <w:bCs/>
          <w:color w:val="17365D" w:themeColor="text2" w:themeShade="BF"/>
          <w:sz w:val="18"/>
          <w:szCs w:val="20"/>
        </w:rPr>
        <w:t>а, Франция, Хорватия, Черногория, Чехия, Швейцария</w:t>
      </w:r>
      <w:r w:rsidRPr="008A0EDF">
        <w:rPr>
          <w:rFonts w:ascii="Verdana" w:hAnsi="Verdana" w:cstheme="minorHAnsi"/>
          <w:b/>
          <w:color w:val="17365D" w:themeColor="text2" w:themeShade="BF"/>
          <w:sz w:val="18"/>
          <w:szCs w:val="20"/>
        </w:rPr>
        <w:t>.</w:t>
      </w:r>
    </w:p>
    <w:p w:rsidR="00014615" w:rsidRPr="00B502E9" w:rsidRDefault="009352E2" w:rsidP="00E14CA8">
      <w:pPr>
        <w:spacing w:after="0"/>
        <w:jc w:val="center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 xml:space="preserve">Доплата 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13 </w:t>
      </w:r>
      <w:r w:rsidR="00014615" w:rsidRPr="00B502E9">
        <w:rPr>
          <w:rFonts w:ascii="Verdana" w:hAnsi="Verdana"/>
          <w:b/>
          <w:bCs/>
          <w:iCs/>
          <w:sz w:val="18"/>
          <w:szCs w:val="18"/>
          <w:lang w:val="en-US"/>
        </w:rPr>
        <w:t>EUR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484C3A" w:rsidRPr="00B502E9">
        <w:rPr>
          <w:rFonts w:ascii="Verdana" w:hAnsi="Verdana"/>
          <w:b/>
          <w:bCs/>
          <w:iCs/>
          <w:sz w:val="18"/>
          <w:szCs w:val="18"/>
        </w:rPr>
        <w:t>–</w:t>
      </w:r>
      <w:r w:rsidR="00014615" w:rsidRPr="00B502E9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B502E9" w:rsidRPr="00B502E9">
        <w:rPr>
          <w:rFonts w:ascii="Verdana" w:hAnsi="Verdana" w:cs="Arial"/>
          <w:b/>
          <w:sz w:val="18"/>
          <w:szCs w:val="18"/>
        </w:rPr>
        <w:t>на 1 чел. за тур</w:t>
      </w:r>
      <w:bookmarkStart w:id="0" w:name="_GoBack"/>
      <w:bookmarkEnd w:id="0"/>
    </w:p>
    <w:p w:rsidR="00014615" w:rsidRPr="00B502E9" w:rsidRDefault="00014615" w:rsidP="00E14CA8">
      <w:pPr>
        <w:spacing w:after="0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B502E9">
        <w:rPr>
          <w:rFonts w:ascii="Verdana" w:hAnsi="Verdana"/>
          <w:b/>
          <w:bCs/>
          <w:iCs/>
          <w:sz w:val="18"/>
          <w:szCs w:val="18"/>
        </w:rPr>
        <w:t>Покрытие - 50 000 евро</w:t>
      </w:r>
    </w:p>
    <w:p w:rsidR="00014615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p w:rsidR="00014615" w:rsidRPr="00F841E4" w:rsidRDefault="00014615" w:rsidP="00014615">
      <w:pPr>
        <w:spacing w:after="0"/>
        <w:jc w:val="center"/>
        <w:rPr>
          <w:rFonts w:ascii="Verdana" w:hAnsi="Verdana"/>
          <w:b/>
          <w:bCs/>
          <w:iCs/>
          <w:sz w:val="6"/>
          <w:szCs w:val="6"/>
        </w:rPr>
      </w:pPr>
    </w:p>
    <w:tbl>
      <w:tblPr>
        <w:tblStyle w:val="a4"/>
        <w:tblW w:w="10808" w:type="dxa"/>
        <w:tblInd w:w="-1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34"/>
        <w:gridCol w:w="1985"/>
        <w:gridCol w:w="1281"/>
      </w:tblGrid>
      <w:tr w:rsidR="00014615" w:rsidRPr="005E3D44" w:rsidTr="00484C3A">
        <w:trPr>
          <w:trHeight w:val="589"/>
        </w:trPr>
        <w:tc>
          <w:tcPr>
            <w:tcW w:w="708" w:type="dxa"/>
            <w:vMerge w:val="restart"/>
            <w:shd w:val="clear" w:color="auto" w:fill="95B3D7" w:themeFill="accent1" w:themeFillTint="99"/>
            <w:vAlign w:val="center"/>
          </w:tcPr>
          <w:p w:rsidR="00014615" w:rsidRPr="00E14CA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34" w:type="dxa"/>
            <w:vMerge w:val="restart"/>
            <w:shd w:val="pct10" w:color="auto" w:fill="auto"/>
            <w:vAlign w:val="center"/>
          </w:tcPr>
          <w:p w:rsidR="00014615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 w:rsidRPr="00EA0AB1">
              <w:rPr>
                <w:rFonts w:cs="Arial"/>
                <w:color w:val="C00000"/>
                <w:szCs w:val="18"/>
              </w:rPr>
              <w:t>Программа «</w:t>
            </w:r>
            <w:r>
              <w:rPr>
                <w:rFonts w:cs="Arial"/>
                <w:color w:val="C00000"/>
                <w:szCs w:val="18"/>
              </w:rPr>
              <w:t>Полное покрытие Плюс</w:t>
            </w:r>
            <w:r w:rsidRPr="00EA0AB1">
              <w:rPr>
                <w:rFonts w:cs="Arial"/>
                <w:color w:val="C00000"/>
                <w:szCs w:val="18"/>
              </w:rPr>
              <w:t>»</w:t>
            </w:r>
          </w:p>
          <w:p w:rsidR="00014615" w:rsidRPr="00EA0AB1" w:rsidRDefault="00014615" w:rsidP="003A4B44">
            <w:pPr>
              <w:tabs>
                <w:tab w:val="left" w:pos="5655"/>
              </w:tabs>
              <w:rPr>
                <w:rFonts w:cs="Arial"/>
                <w:color w:val="C00000"/>
                <w:szCs w:val="18"/>
              </w:rPr>
            </w:pPr>
            <w:r>
              <w:rPr>
                <w:rFonts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014615" w:rsidRPr="00555DC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</w:rPr>
            </w:pPr>
            <w:r w:rsidRPr="0020051A">
              <w:rPr>
                <w:rFonts w:cs="Arial"/>
                <w:sz w:val="16"/>
                <w:szCs w:val="18"/>
              </w:rPr>
              <w:t>Включает в себя организацию и оплату следующих услуг</w:t>
            </w:r>
            <w:r w:rsidRPr="00555DCE">
              <w:rPr>
                <w:rFonts w:cs="Arial"/>
                <w:sz w:val="16"/>
                <w:szCs w:val="18"/>
              </w:rPr>
              <w:t>: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14615" w:rsidRPr="006E444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  <w:u w:val="single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>Страховая сумма</w:t>
            </w:r>
            <w:r>
              <w:rPr>
                <w:rFonts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EUR</w:t>
            </w:r>
          </w:p>
        </w:tc>
        <w:tc>
          <w:tcPr>
            <w:tcW w:w="1281" w:type="dxa"/>
            <w:vMerge w:val="restart"/>
            <w:shd w:val="clear" w:color="auto" w:fill="F2F2F2" w:themeFill="background1" w:themeFillShade="F2"/>
            <w:vAlign w:val="center"/>
          </w:tcPr>
          <w:p w:rsidR="00014615" w:rsidRPr="00A4241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A42411">
              <w:rPr>
                <w:rFonts w:cs="Arial"/>
                <w:b/>
                <w:bCs/>
                <w:sz w:val="16"/>
                <w:szCs w:val="16"/>
              </w:rPr>
              <w:t xml:space="preserve">Франшиза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EUR</w:t>
            </w:r>
          </w:p>
        </w:tc>
      </w:tr>
      <w:tr w:rsidR="00014615" w:rsidRPr="005E3D44" w:rsidTr="00484C3A">
        <w:trPr>
          <w:trHeight w:val="347"/>
        </w:trPr>
        <w:tc>
          <w:tcPr>
            <w:tcW w:w="708" w:type="dxa"/>
            <w:vMerge/>
            <w:shd w:val="clear" w:color="auto" w:fill="95B3D7" w:themeFill="accent1" w:themeFillTint="99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834" w:type="dxa"/>
            <w:vMerge/>
            <w:shd w:val="pct10" w:color="auto" w:fill="auto"/>
            <w:vAlign w:val="center"/>
          </w:tcPr>
          <w:p w:rsidR="00014615" w:rsidRPr="005E3D44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14615" w:rsidRPr="00A42411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A42411">
              <w:rPr>
                <w:rFonts w:cs="Arial"/>
                <w:b/>
                <w:sz w:val="16"/>
                <w:szCs w:val="18"/>
              </w:rPr>
              <w:t>50 000</w:t>
            </w: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:rsidR="00014615" w:rsidRPr="008F09AD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2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6057A0" w:rsidRPr="00B34669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50 000</w:t>
            </w:r>
          </w:p>
        </w:tc>
        <w:tc>
          <w:tcPr>
            <w:tcW w:w="1281" w:type="dxa"/>
            <w:vMerge w:val="restart"/>
            <w:vAlign w:val="center"/>
          </w:tcPr>
          <w:p w:rsidR="006057A0" w:rsidRPr="00024EED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0B5FE8">
              <w:rPr>
                <w:rFonts w:cs="Arial"/>
                <w:b/>
                <w:sz w:val="16"/>
                <w:szCs w:val="16"/>
              </w:rPr>
              <w:t>Нет</w:t>
            </w:r>
          </w:p>
        </w:tc>
      </w:tr>
      <w:tr w:rsidR="006057A0" w:rsidRPr="005E3D44" w:rsidTr="00484C3A">
        <w:trPr>
          <w:trHeight w:val="36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Визит третьего лица в чрезвычайной ситуации</w:t>
            </w:r>
          </w:p>
        </w:tc>
        <w:tc>
          <w:tcPr>
            <w:tcW w:w="1985" w:type="dxa"/>
            <w:vAlign w:val="center"/>
          </w:tcPr>
          <w:p w:rsidR="006057A0" w:rsidRPr="00B34669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  <w:lang w:val="en-US"/>
              </w:rPr>
              <w:t xml:space="preserve">300 + </w:t>
            </w:r>
            <w:r>
              <w:rPr>
                <w:rFonts w:cs="Arial"/>
                <w:sz w:val="16"/>
                <w:szCs w:val="18"/>
              </w:rPr>
              <w:t>авиабилет</w:t>
            </w:r>
          </w:p>
        </w:tc>
        <w:tc>
          <w:tcPr>
            <w:tcW w:w="1281" w:type="dxa"/>
            <w:vMerge/>
            <w:vAlign w:val="center"/>
          </w:tcPr>
          <w:p w:rsidR="006057A0" w:rsidRPr="00B34669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</w:p>
        </w:tc>
      </w:tr>
      <w:tr w:rsidR="006057A0" w:rsidRPr="005E3D44" w:rsidTr="00484C3A">
        <w:trPr>
          <w:trHeight w:val="912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F819AF">
              <w:rPr>
                <w:rFonts w:ascii="Verdana" w:hAnsi="Verdana" w:cs="Arial"/>
                <w:b/>
                <w:bCs/>
                <w:sz w:val="16"/>
                <w:szCs w:val="16"/>
              </w:rPr>
              <w:t>(первые 10 дней и не более 24 недели беременности на дату поездки)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5 000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27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250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359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</w:t>
            </w:r>
            <w:r>
              <w:rPr>
                <w:rFonts w:ascii="Verdana" w:hAnsi="Verdana" w:cs="Arial"/>
                <w:sz w:val="16"/>
                <w:szCs w:val="18"/>
              </w:rPr>
              <w:t>плата телефонных переговоров с С</w:t>
            </w:r>
            <w:r w:rsidRPr="00F819AF">
              <w:rPr>
                <w:rFonts w:ascii="Verdana" w:hAnsi="Verdana" w:cs="Arial"/>
                <w:sz w:val="16"/>
                <w:szCs w:val="18"/>
              </w:rPr>
              <w:t>ервисным центром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125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57A0" w:rsidRPr="005E3D44" w:rsidTr="00484C3A">
        <w:trPr>
          <w:trHeight w:val="455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6057A0" w:rsidRPr="00F819AF" w:rsidRDefault="006057A0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Расходы в связи с задержкой регулярного авиарейса более чем на 2.5 часа</w:t>
            </w:r>
          </w:p>
        </w:tc>
        <w:tc>
          <w:tcPr>
            <w:tcW w:w="1985" w:type="dxa"/>
            <w:vAlign w:val="center"/>
          </w:tcPr>
          <w:p w:rsidR="006057A0" w:rsidRPr="00F819AF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6"/>
                <w:szCs w:val="18"/>
              </w:rPr>
            </w:pPr>
            <w:r w:rsidRPr="00F819AF">
              <w:rPr>
                <w:rFonts w:cs="Arial"/>
                <w:sz w:val="16"/>
                <w:szCs w:val="18"/>
              </w:rPr>
              <w:t>150</w:t>
            </w:r>
          </w:p>
        </w:tc>
        <w:tc>
          <w:tcPr>
            <w:tcW w:w="1281" w:type="dxa"/>
            <w:vMerge/>
            <w:vAlign w:val="center"/>
          </w:tcPr>
          <w:p w:rsidR="006057A0" w:rsidRPr="0020051A" w:rsidRDefault="006057A0" w:rsidP="003A4B44">
            <w:pPr>
              <w:tabs>
                <w:tab w:val="left" w:pos="5655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14615" w:rsidRPr="005E3D44" w:rsidTr="00877A19">
        <w:trPr>
          <w:trHeight w:val="53"/>
        </w:trPr>
        <w:tc>
          <w:tcPr>
            <w:tcW w:w="10808" w:type="dxa"/>
            <w:gridSpan w:val="4"/>
            <w:shd w:val="clear" w:color="auto" w:fill="95B3D7" w:themeFill="accent1" w:themeFillTint="99"/>
          </w:tcPr>
          <w:p w:rsidR="00014615" w:rsidRPr="0036665E" w:rsidRDefault="00014615" w:rsidP="003A4B44">
            <w:pPr>
              <w:tabs>
                <w:tab w:val="left" w:pos="5655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615" w:rsidRPr="005E3D44" w:rsidTr="00484C3A">
        <w:trPr>
          <w:trHeight w:val="621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1 000</w:t>
            </w:r>
          </w:p>
        </w:tc>
        <w:tc>
          <w:tcPr>
            <w:tcW w:w="1281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нет</w:t>
            </w:r>
          </w:p>
        </w:tc>
      </w:tr>
      <w:tr w:rsidR="00014615" w:rsidRPr="005E3D44" w:rsidTr="00484C3A">
        <w:trPr>
          <w:trHeight w:val="621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BF549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BF549F">
              <w:rPr>
                <w:rFonts w:ascii="Verdana" w:hAnsi="Verdana" w:cs="Arial"/>
                <w:sz w:val="16"/>
                <w:szCs w:val="18"/>
                <w:u w:val="single"/>
              </w:rPr>
              <w:t>в результате</w:t>
            </w:r>
            <w:r>
              <w:rPr>
                <w:rFonts w:ascii="Verdana" w:hAnsi="Verdana" w:cs="Arial"/>
                <w:sz w:val="16"/>
                <w:szCs w:val="18"/>
                <w:u w:val="single"/>
              </w:rPr>
              <w:t>: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01461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014615" w:rsidRPr="00347AA5" w:rsidRDefault="00014615" w:rsidP="003A4B44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  <w:p w:rsidR="00014615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  <w:lang w:val="en-US"/>
              </w:rPr>
            </w:pPr>
          </w:p>
          <w:p w:rsidR="00014615" w:rsidRPr="001D5212" w:rsidRDefault="00014615" w:rsidP="003A4B44">
            <w:pPr>
              <w:pStyle w:val="a3"/>
              <w:spacing w:line="0" w:lineRule="atLeast"/>
              <w:ind w:left="459"/>
              <w:rPr>
                <w:rFonts w:ascii="Verdana" w:hAnsi="Verdana" w:cs="Arial"/>
                <w:sz w:val="16"/>
                <w:szCs w:val="15"/>
              </w:rPr>
            </w:pP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500</w:t>
            </w:r>
          </w:p>
        </w:tc>
        <w:tc>
          <w:tcPr>
            <w:tcW w:w="128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50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  <w:tr w:rsidR="00014615" w:rsidRPr="005E3D44" w:rsidTr="00484C3A">
        <w:trPr>
          <w:trHeight w:val="53"/>
        </w:trPr>
        <w:tc>
          <w:tcPr>
            <w:tcW w:w="7542" w:type="dxa"/>
            <w:gridSpan w:val="2"/>
            <w:shd w:val="clear" w:color="auto" w:fill="FFFFFF" w:themeFill="background1"/>
            <w:vAlign w:val="center"/>
          </w:tcPr>
          <w:p w:rsidR="00014615" w:rsidRPr="00F819AF" w:rsidRDefault="00014615" w:rsidP="003A4B4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F819AF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014615" w:rsidRPr="00F819AF" w:rsidRDefault="00014615" w:rsidP="003A4B44">
            <w:pPr>
              <w:pStyle w:val="a3"/>
              <w:tabs>
                <w:tab w:val="left" w:pos="317"/>
              </w:tabs>
              <w:ind w:left="317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Возмещение расходов в  </w:t>
            </w:r>
            <w:r w:rsidRPr="00F819AF">
              <w:rPr>
                <w:rFonts w:ascii="Verdana" w:hAnsi="Verdana" w:cs="Arial"/>
                <w:sz w:val="16"/>
                <w:szCs w:val="18"/>
                <w:u w:val="single"/>
              </w:rPr>
              <w:t>результате причинения вреда</w:t>
            </w:r>
            <w:r w:rsidRPr="00F819AF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014615" w:rsidRPr="00F819AF" w:rsidRDefault="00014615" w:rsidP="003A4B44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F819AF">
              <w:rPr>
                <w:rFonts w:ascii="Verdana" w:hAnsi="Verdana" w:cs="Arial"/>
                <w:sz w:val="16"/>
                <w:szCs w:val="18"/>
              </w:rPr>
              <w:t>Имуществу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  <w:r w:rsidRPr="00F819AF">
              <w:rPr>
                <w:rFonts w:cs="Arial"/>
                <w:sz w:val="16"/>
                <w:szCs w:val="18"/>
              </w:rPr>
              <w:t>…третьих лиц</w:t>
            </w:r>
          </w:p>
          <w:p w:rsidR="00014615" w:rsidRPr="00BF0AE3" w:rsidRDefault="00014615" w:rsidP="003A4B44">
            <w:pPr>
              <w:tabs>
                <w:tab w:val="left" w:pos="459"/>
              </w:tabs>
              <w:ind w:left="317"/>
              <w:rPr>
                <w:rFonts w:cs="Arial"/>
                <w:sz w:val="16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014615" w:rsidRPr="00F819AF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</w:rPr>
            </w:pPr>
            <w:r w:rsidRPr="00F819AF">
              <w:rPr>
                <w:rFonts w:cs="Arial"/>
                <w:b/>
                <w:sz w:val="16"/>
                <w:szCs w:val="18"/>
              </w:rPr>
              <w:t>10 000</w:t>
            </w:r>
          </w:p>
        </w:tc>
        <w:tc>
          <w:tcPr>
            <w:tcW w:w="1281" w:type="dxa"/>
            <w:vAlign w:val="center"/>
          </w:tcPr>
          <w:p w:rsidR="00014615" w:rsidRPr="000B5FE8" w:rsidRDefault="00014615" w:rsidP="003A4B44">
            <w:pPr>
              <w:tabs>
                <w:tab w:val="left" w:pos="5655"/>
              </w:tabs>
              <w:jc w:val="center"/>
              <w:rPr>
                <w:rFonts w:cs="Arial"/>
                <w:b/>
                <w:sz w:val="16"/>
                <w:szCs w:val="18"/>
                <w:lang w:val="en-US"/>
              </w:rPr>
            </w:pPr>
            <w:r w:rsidRPr="000B5FE8">
              <w:rPr>
                <w:rFonts w:cs="Arial"/>
                <w:b/>
                <w:sz w:val="16"/>
                <w:szCs w:val="18"/>
              </w:rPr>
              <w:t>200</w:t>
            </w:r>
            <w:r w:rsidRPr="000B5FE8">
              <w:rPr>
                <w:rFonts w:cs="Arial"/>
                <w:b/>
                <w:sz w:val="16"/>
                <w:szCs w:val="18"/>
                <w:lang w:val="en-US"/>
              </w:rPr>
              <w:t xml:space="preserve"> EUR</w:t>
            </w:r>
          </w:p>
        </w:tc>
      </w:tr>
    </w:tbl>
    <w:p w:rsidR="00014615" w:rsidRPr="00F819AF" w:rsidRDefault="00014615" w:rsidP="00014615">
      <w:pPr>
        <w:rPr>
          <w:rFonts w:ascii="Verdana" w:hAnsi="Verdana" w:cs="Arial"/>
          <w:b/>
          <w:sz w:val="18"/>
          <w:szCs w:val="18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93FE6" w:rsidRPr="00F91E7B" w:rsidTr="00480269">
        <w:trPr>
          <w:trHeight w:val="1161"/>
        </w:trPr>
        <w:tc>
          <w:tcPr>
            <w:tcW w:w="10773" w:type="dxa"/>
            <w:shd w:val="clear" w:color="auto" w:fill="auto"/>
          </w:tcPr>
          <w:p w:rsidR="00093FE6" w:rsidRPr="0073586B" w:rsidRDefault="00093FE6" w:rsidP="00480269">
            <w:pPr>
              <w:spacing w:after="120"/>
              <w:ind w:left="3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093FE6" w:rsidRPr="000D3EDE" w:rsidRDefault="00093FE6" w:rsidP="00480269">
            <w:pPr>
              <w:spacing w:after="120"/>
              <w:ind w:left="33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премия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093FE6" w:rsidRPr="0073586B" w:rsidRDefault="00093FE6" w:rsidP="00480269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активными видами отдыха  (включая дайвинг на глубине до 40 м, рафтинг, серфинг, виндсерфинг, катание на горных лыжах, сноуборде и т.п. в качестве любителя или профессионала) – тариф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 в 2 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CA5B66" w:rsidRDefault="00CA5B66" w:rsidP="00093FE6">
      <w:pPr>
        <w:spacing w:after="120"/>
        <w:ind w:left="33"/>
      </w:pPr>
    </w:p>
    <w:sectPr w:rsidR="00CA5B66" w:rsidSect="00093F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15"/>
    <w:rsid w:val="00014615"/>
    <w:rsid w:val="00093FE6"/>
    <w:rsid w:val="002409FD"/>
    <w:rsid w:val="003F1216"/>
    <w:rsid w:val="00484C3A"/>
    <w:rsid w:val="004F5D3E"/>
    <w:rsid w:val="005C278C"/>
    <w:rsid w:val="006057A0"/>
    <w:rsid w:val="006F7C39"/>
    <w:rsid w:val="00877A19"/>
    <w:rsid w:val="008A0EDF"/>
    <w:rsid w:val="009352E2"/>
    <w:rsid w:val="009A7D29"/>
    <w:rsid w:val="00B502E9"/>
    <w:rsid w:val="00CA5B66"/>
    <w:rsid w:val="00D36370"/>
    <w:rsid w:val="00E14CA8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91FD-B5CC-4BBD-ACC3-11F9DCB1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1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14615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Anna. Sharonova</cp:lastModifiedBy>
  <cp:revision>13</cp:revision>
  <dcterms:created xsi:type="dcterms:W3CDTF">2017-09-04T12:47:00Z</dcterms:created>
  <dcterms:modified xsi:type="dcterms:W3CDTF">2018-09-04T12:55:00Z</dcterms:modified>
</cp:coreProperties>
</file>