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CB51CA">
        <w:rPr>
          <w:b/>
        </w:rPr>
        <w:t xml:space="preserve"> </w:t>
      </w:r>
      <w:r w:rsidR="005C7252">
        <w:rPr>
          <w:b/>
        </w:rPr>
        <w:t>ЕГИПЕТ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A7451F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в </w:t>
      </w:r>
      <w:r w:rsidR="005C725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Египет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</w:t>
      </w:r>
      <w:bookmarkStart w:id="0" w:name="_GoBack"/>
      <w:bookmarkEnd w:id="0"/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CB51C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Кубе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BC3D8E" w:rsidRDefault="00BC3D8E" w:rsidP="00BC3D8E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4E01BD" w:rsidRPr="004E01BD" w:rsidRDefault="004E01BD" w:rsidP="00BC3D8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="00EB062E"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BC3D8E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BC3D8E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C06899" w:rsidRDefault="00C06899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3579F" w:rsidTr="00BC3D8E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C06899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3579F" w:rsidTr="00BC3D8E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3579F" w:rsidTr="00BC3D8E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</w:t>
      </w: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>принятого после вступления Договора страхования в силу, в качестве свидетеля, эксперта, специалиста, переводчика;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призывом Застрахованного на срочную военную службу или на военные сборы, при условии подтвержденного получения Застрахованным уведомления (повестки) после вступления Договора страхования в силу</w:t>
      </w:r>
      <w:r>
        <w:rPr>
          <w:rFonts w:asciiTheme="minorHAnsi" w:hAnsiTheme="minorHAnsi" w:cstheme="minorHAnsi"/>
          <w:bCs/>
          <w:sz w:val="20"/>
          <w:szCs w:val="20"/>
        </w:rPr>
        <w:t>.</w:t>
      </w:r>
    </w:p>
    <w:p w:rsidR="005F559E" w:rsidRPr="00AB7424" w:rsidRDefault="005F559E" w:rsidP="005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559E" w:rsidRDefault="005F559E" w:rsidP="005F559E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5F559E" w:rsidRDefault="005F559E" w:rsidP="005F559E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</w:p>
    <w:p w:rsidR="00F17F0B" w:rsidRDefault="001B3F85" w:rsidP="005F559E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5F559E" w:rsidRPr="00AB7424" w:rsidRDefault="005F559E" w:rsidP="005F559E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5F559E" w:rsidRPr="00AB7424" w:rsidRDefault="005F559E" w:rsidP="005F559E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AB7424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5F559E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5F559E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AB7424" w:rsidRDefault="005F559E" w:rsidP="005F559E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lastRenderedPageBreak/>
        <w:t>Контакты для обращений по страховым случаям:</w:t>
      </w:r>
    </w:p>
    <w:p w:rsidR="005F559E" w:rsidRPr="00AB7424" w:rsidRDefault="005F559E" w:rsidP="005F559E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8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5F559E" w:rsidRPr="00AB7424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9D0892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3228A" w:rsidRPr="00A751CB" w:rsidRDefault="0013228A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43579F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6E" w:rsidRDefault="0079546E" w:rsidP="00440378">
      <w:pPr>
        <w:spacing w:after="0" w:line="240" w:lineRule="auto"/>
      </w:pPr>
      <w:r>
        <w:separator/>
      </w:r>
    </w:p>
  </w:endnote>
  <w:end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59E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6E" w:rsidRDefault="0079546E" w:rsidP="00440378">
      <w:pPr>
        <w:spacing w:after="0" w:line="240" w:lineRule="auto"/>
      </w:pPr>
      <w:r>
        <w:separator/>
      </w:r>
    </w:p>
  </w:footnote>
  <w:foot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23E6C"/>
    <w:rsid w:val="00244012"/>
    <w:rsid w:val="00280813"/>
    <w:rsid w:val="00282122"/>
    <w:rsid w:val="00291CD3"/>
    <w:rsid w:val="002B07D8"/>
    <w:rsid w:val="002B7604"/>
    <w:rsid w:val="00342028"/>
    <w:rsid w:val="00342901"/>
    <w:rsid w:val="00372F1F"/>
    <w:rsid w:val="0038088F"/>
    <w:rsid w:val="00380A02"/>
    <w:rsid w:val="003A311E"/>
    <w:rsid w:val="003C5869"/>
    <w:rsid w:val="003C71DF"/>
    <w:rsid w:val="003E18C3"/>
    <w:rsid w:val="003E765D"/>
    <w:rsid w:val="003F4541"/>
    <w:rsid w:val="003F465C"/>
    <w:rsid w:val="00401302"/>
    <w:rsid w:val="00403C94"/>
    <w:rsid w:val="004237CF"/>
    <w:rsid w:val="0043579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C7252"/>
    <w:rsid w:val="005E2914"/>
    <w:rsid w:val="005F085A"/>
    <w:rsid w:val="005F559E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9546E"/>
    <w:rsid w:val="007D399B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451F"/>
    <w:rsid w:val="00A751CB"/>
    <w:rsid w:val="00A80123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1471C"/>
    <w:rsid w:val="00C41C85"/>
    <w:rsid w:val="00C46AF6"/>
    <w:rsid w:val="00C7796E"/>
    <w:rsid w:val="00CB2C8C"/>
    <w:rsid w:val="00CB51CA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B984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55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5F559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65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claims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91DB2-6E5F-472D-BF5A-6B86D61B8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8</cp:revision>
  <dcterms:created xsi:type="dcterms:W3CDTF">2018-03-29T15:47:00Z</dcterms:created>
  <dcterms:modified xsi:type="dcterms:W3CDTF">2021-05-12T12:27:00Z</dcterms:modified>
</cp:coreProperties>
</file>