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27" w:rsidRPr="00443753" w:rsidRDefault="00D93857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  <w:t>ШРИ -ЛАНКА</w:t>
      </w:r>
    </w:p>
    <w:p w:rsidR="005F085A" w:rsidRPr="00C311A8" w:rsidRDefault="00AE7369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311A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40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 </w:t>
      </w:r>
      <w:r w:rsidRPr="00C311A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000 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US"/>
        </w:rPr>
        <w:t>USD</w:t>
      </w:r>
    </w:p>
    <w:p w:rsidR="00C311A8" w:rsidRPr="00C311A8" w:rsidRDefault="00C311A8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440378" w:rsidRPr="00A751CB" w:rsidRDefault="00D93857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на Шри-Ланку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D93857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на Шри-Ланку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40378" w:rsidRPr="009B5454" w:rsidRDefault="00440378" w:rsidP="009B5454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3C71DF">
        <w:rPr>
          <w:rFonts w:asciiTheme="minorHAnsi" w:hAnsiTheme="minorHAnsi" w:cstheme="minorHAnsi"/>
          <w:b/>
          <w:bCs/>
          <w:color w:val="000000" w:themeColor="text1"/>
          <w:szCs w:val="20"/>
        </w:rPr>
        <w:t>Круглосуточные телефоны Сервисного Центра:</w:t>
      </w:r>
    </w:p>
    <w:tbl>
      <w:tblPr>
        <w:tblW w:w="7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815"/>
      </w:tblGrid>
      <w:tr w:rsidR="003C71DF" w:rsidRPr="00565204" w:rsidTr="009B5454">
        <w:trPr>
          <w:trHeight w:val="361"/>
          <w:jc w:val="center"/>
        </w:trPr>
        <w:tc>
          <w:tcPr>
            <w:tcW w:w="3348" w:type="dxa"/>
          </w:tcPr>
          <w:p w:rsidR="003C71DF" w:rsidRPr="00565204" w:rsidRDefault="003C71DF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Весь Мир</w:t>
            </w:r>
          </w:p>
        </w:tc>
        <w:tc>
          <w:tcPr>
            <w:tcW w:w="3815" w:type="dxa"/>
          </w:tcPr>
          <w:p w:rsidR="003C71DF" w:rsidRPr="00565204" w:rsidRDefault="003C71DF" w:rsidP="009B5454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+90 242 310 28 49 </w:t>
            </w: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или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+7 499 609 26 26</w:t>
            </w:r>
          </w:p>
        </w:tc>
      </w:tr>
      <w:tr w:rsidR="003C71DF" w:rsidTr="009B5454">
        <w:trPr>
          <w:trHeight w:val="361"/>
          <w:jc w:val="center"/>
        </w:trPr>
        <w:tc>
          <w:tcPr>
            <w:tcW w:w="3348" w:type="dxa"/>
          </w:tcPr>
          <w:p w:rsidR="003C71DF" w:rsidRDefault="003C71DF" w:rsidP="003C71DF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Skype</w:t>
            </w:r>
          </w:p>
        </w:tc>
        <w:tc>
          <w:tcPr>
            <w:tcW w:w="3815" w:type="dxa"/>
          </w:tcPr>
          <w:p w:rsidR="003C71DF" w:rsidRDefault="003C71DF" w:rsidP="009B5454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remed</w:t>
            </w:r>
            <w:r w:rsidRPr="003C71DF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assistance</w:t>
            </w:r>
          </w:p>
        </w:tc>
      </w:tr>
      <w:tr w:rsidR="003C71DF" w:rsidRPr="00653BD7" w:rsidTr="009B5454">
        <w:trPr>
          <w:trHeight w:val="361"/>
          <w:jc w:val="center"/>
        </w:trPr>
        <w:tc>
          <w:tcPr>
            <w:tcW w:w="3348" w:type="dxa"/>
            <w:hideMark/>
          </w:tcPr>
          <w:p w:rsidR="003C71DF" w:rsidRPr="00653BD7" w:rsidRDefault="003C71DF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Whatsapp</w:t>
            </w:r>
            <w:proofErr w:type="spellEnd"/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, Viber, Telegram, IMO</w:t>
            </w:r>
          </w:p>
        </w:tc>
        <w:tc>
          <w:tcPr>
            <w:tcW w:w="3815" w:type="dxa"/>
            <w:hideMark/>
          </w:tcPr>
          <w:p w:rsidR="003C71DF" w:rsidRPr="00653BD7" w:rsidRDefault="003C71DF" w:rsidP="009B5454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+90 531 250 45 96 </w:t>
            </w:r>
            <w:r w:rsidRPr="00A751C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или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 xml:space="preserve"> +7 916 488 51 85</w:t>
            </w:r>
          </w:p>
        </w:tc>
      </w:tr>
      <w:tr w:rsidR="009B5454" w:rsidRPr="00653BD7" w:rsidTr="009B5454">
        <w:trPr>
          <w:trHeight w:val="346"/>
          <w:jc w:val="center"/>
        </w:trPr>
        <w:tc>
          <w:tcPr>
            <w:tcW w:w="3348" w:type="dxa"/>
          </w:tcPr>
          <w:p w:rsidR="009B5454" w:rsidRPr="00BD0689" w:rsidRDefault="009B5454" w:rsidP="004219D8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e-m</w:t>
            </w: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ail</w:t>
            </w:r>
          </w:p>
        </w:tc>
        <w:tc>
          <w:tcPr>
            <w:tcW w:w="3815" w:type="dxa"/>
          </w:tcPr>
          <w:p w:rsidR="009B5454" w:rsidRPr="00BD0689" w:rsidRDefault="009B5454" w:rsidP="009B5454">
            <w:pPr>
              <w:spacing w:before="40" w:after="40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</w:pPr>
            <w:r w:rsidRPr="00BD0689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internation</w:t>
            </w:r>
            <w:r w:rsidRPr="00A2704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en-US"/>
              </w:rPr>
              <w:t>al@remed.com.tr</w:t>
            </w:r>
          </w:p>
        </w:tc>
      </w:tr>
    </w:tbl>
    <w:p w:rsidR="001B3F85" w:rsidRPr="003C71DF" w:rsidRDefault="001B3F85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B3F85" w:rsidRDefault="001B3F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</w:t>
      </w:r>
      <w:r w:rsidR="00A2704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се клиенты застрахованы по про</w:t>
      </w:r>
      <w:r w:rsidR="00A751CB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грамме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«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Медицинские расходы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»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с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страховой </w:t>
      </w:r>
      <w:r w:rsidR="009A5212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суммой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40 000 </w:t>
      </w:r>
      <w:r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USD</w:t>
      </w:r>
      <w:r w:rsid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:rsidR="00C41C85" w:rsidRPr="00C41C85" w:rsidRDefault="00C41C85" w:rsidP="009B5454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По всем направлениям действует безусловная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франшиза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Pr="00C41C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30 USD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645A8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не</w:t>
      </w:r>
      <w:r w:rsidRPr="00C41C85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зависимо от возраста застрахованного.</w:t>
      </w:r>
    </w:p>
    <w:p w:rsidR="00440378" w:rsidRPr="00A751CB" w:rsidRDefault="00440378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AB7424">
        <w:rPr>
          <w:rFonts w:asciiTheme="minorHAnsi" w:hAnsiTheme="minorHAnsi" w:cstheme="minorHAnsi"/>
          <w:bCs/>
          <w:sz w:val="20"/>
          <w:szCs w:val="20"/>
          <w:u w:val="single"/>
        </w:rPr>
        <w:t>Страховыми случаями по полису являются: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медицинские расходы при обострении хронических заболеваний;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амбулаторное лечение и лечение в стационаре;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оплата предписанных врачом медикаментов и средств фиксации (гипс, бандаж);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стоматологическая помощь без ограничения лимита страховой суммы;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медико-транспортные расходы;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транспортные расходы;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возвращение домой несовершеннолетних детей застрахованного;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sym w:font="Wingdings" w:char="F0FC"/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репатриация в случае смерти.</w:t>
      </w:r>
    </w:p>
    <w:p w:rsidR="00051053" w:rsidRPr="00AB7424" w:rsidRDefault="00051053" w:rsidP="00051053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51053" w:rsidRPr="00AB7424" w:rsidRDefault="00051053" w:rsidP="00051053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 договорам страхования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по случаям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связанным с </w:t>
      </w:r>
      <w:proofErr w:type="spellStart"/>
      <w:r w:rsidRPr="00AB7424">
        <w:rPr>
          <w:rFonts w:asciiTheme="minorHAnsi" w:hAnsiTheme="minorHAnsi" w:cstheme="minorHAnsi"/>
          <w:b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 инфекцией </w:t>
      </w:r>
      <w:r w:rsidRPr="00AB7424">
        <w:rPr>
          <w:rFonts w:asciiTheme="minorHAnsi" w:hAnsiTheme="minorHAnsi" w:cstheme="minorHAnsi"/>
          <w:b/>
          <w:bCs/>
          <w:sz w:val="20"/>
          <w:szCs w:val="20"/>
          <w:lang w:val="en-US"/>
        </w:rPr>
        <w:t>COVID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>-19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покрываются медицинские расходы Застрахованного лица, связанные с диагностикой (положительной) и лечением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 (включая амбулаторное и стационарное лечение), а также медико-транспортные расходы, расходы по посмертной репатриации, транспортные расходы по возращению – в пределах страховой суммы, установленной договором страхования и в соответствии с правилами страхования Страховщика. </w:t>
      </w:r>
    </w:p>
    <w:p w:rsidR="00051053" w:rsidRPr="00AB7424" w:rsidRDefault="00051053" w:rsidP="00051053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Договором страхования не покрываются следующие расходы:</w:t>
      </w:r>
    </w:p>
    <w:p w:rsidR="00051053" w:rsidRPr="00AB7424" w:rsidRDefault="00051053" w:rsidP="00051053">
      <w:pPr>
        <w:pStyle w:val="a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Расходы по проживанию и питанию Застрахованного лица на все время пребывания в карантине на территории страхования по поводу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COVID-19.</w:t>
      </w:r>
    </w:p>
    <w:p w:rsidR="00051053" w:rsidRPr="00AB7424" w:rsidRDefault="00051053" w:rsidP="00051053">
      <w:pPr>
        <w:pStyle w:val="a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Транспортные расходы по возвращению Застрахованного лица к месту постоянного проживания в случае, если Застрахованное лицо не было госпитализировано на момент окончания тура.</w:t>
      </w:r>
    </w:p>
    <w:p w:rsidR="00051053" w:rsidRPr="00AB7424" w:rsidRDefault="00051053" w:rsidP="00051053">
      <w:pPr>
        <w:pStyle w:val="a9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Расходы Застрахованного лица на территории страхования, связанные с проведением ему обязательных тестирований по выявлению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инфекции COVID-19, в случае если по результатам тестирования 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коронавирусная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инфекция не была выявлена.</w:t>
      </w:r>
    </w:p>
    <w:p w:rsidR="00051053" w:rsidRDefault="00051053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1B3F85" w:rsidRDefault="00EF0977" w:rsidP="009B5454">
      <w:pPr>
        <w:tabs>
          <w:tab w:val="left" w:pos="-142"/>
        </w:tabs>
        <w:spacing w:after="0"/>
        <w:ind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Полный список страховых случаев и исключений содержится в</w:t>
      </w:r>
      <w:r w:rsidR="001B3F85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«Правилах страхования медицинских расходов при выезде за границу» СПАО «Ингосстрах»</w:t>
      </w:r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</w:t>
      </w:r>
      <w:hyperlink r:id="rId8" w:history="1">
        <w:r w:rsidR="008D76BA" w:rsidRPr="00CD3F12">
          <w:rPr>
            <w:rStyle w:val="a8"/>
            <w:rFonts w:asciiTheme="minorHAnsi" w:hAnsiTheme="minorHAnsi" w:cstheme="minorHAnsi"/>
            <w:bCs/>
            <w:sz w:val="20"/>
            <w:szCs w:val="20"/>
          </w:rPr>
          <w:t>https://www.ingos.ru/upload/info/pravila_vzr/pravila_vzr_svod.pdf</w:t>
        </w:r>
      </w:hyperlink>
      <w:r w:rsidR="008D76B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EB062E" w:rsidRPr="00A751CB" w:rsidRDefault="00EB062E" w:rsidP="00934C75">
      <w:pPr>
        <w:tabs>
          <w:tab w:val="left" w:pos="-142"/>
        </w:tabs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678"/>
      </w:tblGrid>
      <w:tr w:rsidR="00EB062E" w:rsidRPr="00653BD7" w:rsidTr="0070704C">
        <w:trPr>
          <w:trHeight w:hRule="exact" w:val="837"/>
          <w:jc w:val="center"/>
        </w:trPr>
        <w:tc>
          <w:tcPr>
            <w:tcW w:w="4106" w:type="dxa"/>
            <w:vAlign w:val="center"/>
            <w:hideMark/>
          </w:tcPr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eastAsia="MS PGothic" w:hAnsiTheme="minorHAnsi" w:cstheme="minorHAnsi"/>
                <w:b/>
                <w:caps/>
                <w:sz w:val="20"/>
                <w:szCs w:val="20"/>
                <w:lang w:eastAsia="ja-JP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ВОЗРАСТ ТУРИСТА / Особые условия</w:t>
            </w:r>
          </w:p>
          <w:p w:rsidR="00EB062E" w:rsidRPr="00653BD7" w:rsidRDefault="00EB062E" w:rsidP="0070704C">
            <w:pPr>
              <w:spacing w:after="0" w:line="204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в период пребывания туриста за</w:t>
            </w:r>
          </w:p>
          <w:p w:rsidR="00EB062E" w:rsidRPr="00653BD7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границей</w:t>
            </w:r>
          </w:p>
        </w:tc>
        <w:tc>
          <w:tcPr>
            <w:tcW w:w="4678" w:type="dxa"/>
            <w:vAlign w:val="center"/>
            <w:hideMark/>
          </w:tcPr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Размер</w:t>
            </w:r>
            <w:r w:rsidR="0070704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ДОПОЛНИТЕЛЬНОЙ ОПЛАТЫ</w:t>
            </w:r>
          </w:p>
          <w:p w:rsid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за каждый день путешествия</w:t>
            </w:r>
          </w:p>
          <w:p w:rsidR="00EB062E" w:rsidRPr="0070704C" w:rsidRDefault="00EB062E" w:rsidP="0070704C">
            <w:pPr>
              <w:spacing w:after="0" w:line="206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и размер франшизы</w:t>
            </w:r>
          </w:p>
        </w:tc>
      </w:tr>
      <w:tr w:rsidR="00EB062E" w:rsidRPr="00565204" w:rsidTr="0070704C">
        <w:trPr>
          <w:jc w:val="center"/>
        </w:trPr>
        <w:tc>
          <w:tcPr>
            <w:tcW w:w="4106" w:type="dxa"/>
          </w:tcPr>
          <w:p w:rsidR="00EB062E" w:rsidRPr="00565204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0-2</w:t>
            </w:r>
          </w:p>
        </w:tc>
        <w:tc>
          <w:tcPr>
            <w:tcW w:w="4678" w:type="dxa"/>
          </w:tcPr>
          <w:p w:rsidR="00EB062E" w:rsidRPr="00565204" w:rsidRDefault="00EB062E" w:rsidP="00EB062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2,0 доллара США,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80 - 84</w:t>
            </w:r>
          </w:p>
        </w:tc>
        <w:tc>
          <w:tcPr>
            <w:tcW w:w="4678" w:type="dxa"/>
          </w:tcPr>
          <w:p w:rsidR="00EB062E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  <w:hideMark/>
          </w:tcPr>
          <w:p w:rsidR="00EB062E" w:rsidRPr="00653BD7" w:rsidRDefault="00EB062E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От 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78" w:type="dxa"/>
            <w:hideMark/>
          </w:tcPr>
          <w:p w:rsidR="00EB062E" w:rsidRPr="00653BD7" w:rsidRDefault="00EB062E" w:rsidP="0070704C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,5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доллара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  <w:tr w:rsidR="00EB062E" w:rsidRPr="00653BD7" w:rsidTr="0070704C">
        <w:trPr>
          <w:jc w:val="center"/>
        </w:trPr>
        <w:tc>
          <w:tcPr>
            <w:tcW w:w="4106" w:type="dxa"/>
          </w:tcPr>
          <w:p w:rsidR="00EB062E" w:rsidRPr="00653BD7" w:rsidRDefault="0013762C" w:rsidP="004219D8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С</w:t>
            </w:r>
            <w:r w:rsidR="00EB062E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>порт</w:t>
            </w:r>
            <w:r w:rsidR="00EB062E" w:rsidRPr="00653BD7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EB062E" w:rsidRPr="00653BD7" w:rsidRDefault="00EB062E" w:rsidP="00EB062E">
            <w:pPr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,0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>доллар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а</w:t>
            </w:r>
            <w:r w:rsidRPr="00653BD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США, </w:t>
            </w:r>
            <w:r w:rsidRPr="00653BD7">
              <w:rPr>
                <w:rFonts w:asciiTheme="minorHAnsi" w:hAnsiTheme="minorHAnsi" w:cstheme="minorHAnsi"/>
                <w:sz w:val="20"/>
                <w:szCs w:val="20"/>
              </w:rPr>
              <w:t>франшиза 30 долларов США</w:t>
            </w:r>
          </w:p>
        </w:tc>
      </w:tr>
    </w:tbl>
    <w:p w:rsidR="00C41C85" w:rsidRPr="00A751CB" w:rsidRDefault="00C41C85" w:rsidP="00934C75">
      <w:pPr>
        <w:spacing w:after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EB062E" w:rsidRDefault="0013762C" w:rsidP="00EB062E">
      <w:pPr>
        <w:pStyle w:val="a9"/>
        <w:numPr>
          <w:ilvl w:val="0"/>
          <w:numId w:val="39"/>
        </w:numPr>
        <w:tabs>
          <w:tab w:val="left" w:pos="-284"/>
        </w:tabs>
        <w:spacing w:after="0"/>
        <w:ind w:left="0" w:right="-1" w:firstLine="28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9B5454">
        <w:rPr>
          <w:rFonts w:asciiTheme="minorHAnsi" w:hAnsiTheme="minorHAnsi" w:cstheme="minorHAnsi"/>
          <w:b/>
          <w:sz w:val="20"/>
        </w:rPr>
        <w:t>Спорт</w:t>
      </w:r>
      <w:r w:rsidRPr="009B5454">
        <w:rPr>
          <w:rFonts w:asciiTheme="minorHAnsi" w:hAnsiTheme="minorHAnsi" w:cstheme="minorHAnsi"/>
          <w:sz w:val="20"/>
        </w:rPr>
        <w:t xml:space="preserve"> - 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Пункт 4.7.9. </w:t>
      </w:r>
      <w:r w:rsidR="00AA63C7" w:rsidRPr="009B5454">
        <w:rPr>
          <w:rFonts w:asciiTheme="minorHAnsi" w:hAnsiTheme="minorHAnsi" w:cstheme="minorHAnsi"/>
          <w:sz w:val="20"/>
        </w:rPr>
        <w:t>занятие</w:t>
      </w:r>
      <w:r w:rsidRPr="009B5454">
        <w:rPr>
          <w:rFonts w:asciiTheme="minorHAnsi" w:hAnsiTheme="minorHAnsi" w:cstheme="minorHAnsi"/>
          <w:sz w:val="20"/>
        </w:rPr>
        <w:t xml:space="preserve"> Застрахованным экстремальным, профессиональным, любительским или организованным спортом, в том числе: альпинизмом, скалолазанием, дайвингом (до 40 метров), катанием на горных лыжах и/или сноуборде вне специально оборудованных и предназначенных для этого трасс, трекингом, рафтингом, водными лыжами, серфингом, верховой ездой, катанием на горных лыжах, на сноуборде и т.п</w:t>
      </w:r>
      <w:r w:rsidR="00AA63C7" w:rsidRPr="009B5454">
        <w:rPr>
          <w:rFonts w:asciiTheme="minorHAnsi" w:hAnsiTheme="minorHAnsi" w:cstheme="minorHAnsi"/>
          <w:sz w:val="20"/>
        </w:rPr>
        <w:t>. (</w:t>
      </w:r>
      <w:r w:rsidR="00AA63C7" w:rsidRPr="009B5454">
        <w:rPr>
          <w:rFonts w:asciiTheme="minorHAnsi" w:hAnsiTheme="minorHAnsi" w:cstheme="minorHAnsi"/>
          <w:b/>
          <w:sz w:val="20"/>
        </w:rPr>
        <w:t xml:space="preserve">Правила страхования медицинских расходов при выезде за границу </w:t>
      </w:r>
      <w:r w:rsidR="00AA63C7" w:rsidRPr="009B5454">
        <w:rPr>
          <w:rFonts w:asciiTheme="minorHAnsi" w:hAnsiTheme="minorHAnsi" w:cstheme="minorHAnsi"/>
          <w:b/>
          <w:bCs/>
          <w:sz w:val="20"/>
          <w:szCs w:val="24"/>
        </w:rPr>
        <w:t>СПАО «Ингосстрах»)</w:t>
      </w:r>
      <w:r w:rsidR="00CF2801" w:rsidRPr="009B5454">
        <w:rPr>
          <w:rFonts w:asciiTheme="minorHAnsi" w:hAnsiTheme="minorHAnsi" w:cstheme="minorHAnsi"/>
          <w:b/>
          <w:bCs/>
          <w:sz w:val="20"/>
          <w:szCs w:val="24"/>
        </w:rPr>
        <w:t xml:space="preserve"> 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– тариф увеличивается 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в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CF2801" w:rsidRPr="009B545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 раза</w:t>
      </w:r>
      <w:r w:rsidR="00CF2801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-  обозначается в полисе как „RISKFUL SPORT”</w:t>
      </w:r>
      <w:r w:rsidR="004E01BD" w:rsidRPr="009B545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(п.4.7.9).</w:t>
      </w:r>
    </w:p>
    <w:p w:rsidR="009B5454" w:rsidRPr="009B5454" w:rsidRDefault="009B5454" w:rsidP="009B5454">
      <w:pPr>
        <w:pStyle w:val="a9"/>
        <w:tabs>
          <w:tab w:val="left" w:pos="-284"/>
        </w:tabs>
        <w:spacing w:after="0"/>
        <w:ind w:left="284" w:right="-1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tbl>
      <w:tblPr>
        <w:tblW w:w="108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1"/>
        <w:gridCol w:w="1908"/>
      </w:tblGrid>
      <w:tr w:rsidR="00401302" w:rsidRPr="0013762C" w:rsidTr="0013762C">
        <w:trPr>
          <w:trHeight w:val="817"/>
          <w:jc w:val="center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8559A7" w:rsidRDefault="00401302" w:rsidP="004219D8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Объем страхового покрытия по страхованию медицинских расходов</w:t>
            </w:r>
            <w:r w:rsidRPr="008559A7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302" w:rsidRPr="0013762C" w:rsidRDefault="00401302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Страховая сумма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Амбулаторное и стационарное лечение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9A7" w:rsidRPr="008559A7" w:rsidRDefault="008559A7" w:rsidP="004219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8559A7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40 000 </w:t>
            </w:r>
            <w:r w:rsidRPr="008559A7">
              <w:rPr>
                <w:rFonts w:ascii="Times New Roman" w:hAnsi="Times New Roman" w:cs="Times New Roman"/>
                <w:b/>
                <w:color w:val="000000"/>
                <w:lang w:val="en-US" w:eastAsia="ru-RU"/>
              </w:rPr>
              <w:t>$</w:t>
            </w: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телефонных переговоров с сервисным центром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Содействие в коммуникации с медицинским персоналом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 xml:space="preserve">Купирование и лечение хронических заболеваний 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аллергических реакций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лечения при укусах насекомых и животных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анализов, диагностических исследований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медикаментов, выписанных врачом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Оплата средств фиксации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Купирование и лечение острой зубной боли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Расходы на проезд родственника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к врачу или больницу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Транспортировка сан авиацией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Медицинская транспортировка и эвакуация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Застрахованного в случае госпитализации после окончания договора страхования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Возвращение несовершеннолетних детей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Досрочное возвращение Застрахованного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Репатриация в случае смерти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284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  <w:t>Поисково-спасательные мероприятия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441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bCs/>
                <w:sz w:val="18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Детские болезни: корь, краснуха, ветреная оспа,</w:t>
            </w:r>
            <w:r w:rsidRPr="00401302">
              <w:rPr>
                <w:rFonts w:ascii="Times New Roman" w:hAnsi="Times New Roman" w:cs="Times New Roman"/>
                <w:b/>
                <w:bCs/>
                <w:color w:val="2F5597"/>
                <w:sz w:val="18"/>
              </w:rPr>
              <w:t xml:space="preserve"> </w:t>
            </w:r>
            <w:r w:rsidRPr="00401302">
              <w:rPr>
                <w:rFonts w:ascii="Times New Roman" w:hAnsi="Times New Roman" w:cs="Times New Roman"/>
                <w:bCs/>
                <w:sz w:val="18"/>
              </w:rPr>
              <w:t>скарлатина, дифтерия, коклюш, эпидемический паротит, инфекционный мононуклеоз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  <w:tr w:rsidR="008559A7" w:rsidRPr="00D42153" w:rsidTr="0013762C">
        <w:trPr>
          <w:trHeight w:hRule="exact" w:val="1000"/>
          <w:jc w:val="center"/>
        </w:trPr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59A7" w:rsidRPr="00401302" w:rsidRDefault="008559A7" w:rsidP="004219D8">
            <w:pPr>
              <w:rPr>
                <w:rFonts w:ascii="Times New Roman" w:hAnsi="Times New Roman" w:cs="Times New Roman"/>
                <w:sz w:val="18"/>
                <w:lang w:eastAsia="ru-RU"/>
              </w:rPr>
            </w:pPr>
            <w:r w:rsidRPr="00401302">
              <w:rPr>
                <w:rFonts w:ascii="Times New Roman" w:hAnsi="Times New Roman" w:cs="Times New Roman"/>
                <w:sz w:val="18"/>
                <w:lang w:eastAsia="ru-RU"/>
              </w:rPr>
              <w:t>Любительский спорт на территории отеля, включая водные и пляжные развлечения, катание на квадроциклах, велосипедах, животных; занятие непрофессиональными видами спорта, в том числе виндсерфингом, серфингом, кайтсерфингом (т.е. когда поездка предпринята для отдыха, а не с целью участия в спортивных мероприятиях)</w:t>
            </w: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559A7" w:rsidRPr="00401302" w:rsidRDefault="008559A7" w:rsidP="004219D8">
            <w:pPr>
              <w:jc w:val="center"/>
              <w:rPr>
                <w:rFonts w:ascii="Times New Roman" w:hAnsi="Times New Roman" w:cs="Times New Roman"/>
                <w:sz w:val="18"/>
                <w:lang w:eastAsia="ru-RU"/>
              </w:rPr>
            </w:pPr>
          </w:p>
        </w:tc>
      </w:tr>
    </w:tbl>
    <w:p w:rsidR="00EB062E" w:rsidRDefault="00EB062E" w:rsidP="00EB062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01302" w:rsidRDefault="00401302" w:rsidP="003C586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01302" w:rsidRDefault="00401302" w:rsidP="003C5869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A80123" w:rsidRDefault="009E6035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  <w:r w:rsidRPr="004E01BD"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  <w:t>ДОПОЛНИТЕЛЬНОЕ СТРАХОВАНИЕ</w:t>
      </w:r>
    </w:p>
    <w:p w:rsidR="00AE7369" w:rsidRDefault="00AE7369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AE7369" w:rsidRDefault="00AE7369" w:rsidP="00AE7369">
      <w:pPr>
        <w:spacing w:after="0"/>
        <w:rPr>
          <w:rFonts w:ascii="Times New Roman" w:hAnsi="Times New Roman"/>
          <w:b/>
          <w:bCs/>
          <w:snapToGrid w:val="0"/>
          <w:color w:val="000080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поездки по программе: </w:t>
      </w:r>
      <w:r w:rsidRPr="00F775AA">
        <w:rPr>
          <w:rFonts w:ascii="Times New Roman" w:hAnsi="Times New Roman"/>
          <w:b/>
          <w:bCs/>
          <w:snapToGrid w:val="0"/>
          <w:color w:val="000000" w:themeColor="text1"/>
        </w:rPr>
        <w:t>«Отказ в визе»</w:t>
      </w:r>
    </w:p>
    <w:p w:rsidR="00AE7369" w:rsidRPr="00F775AA" w:rsidRDefault="00AE7369" w:rsidP="00AE7369">
      <w:pPr>
        <w:spacing w:after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2700"/>
        <w:gridCol w:w="2260"/>
      </w:tblGrid>
      <w:tr w:rsidR="00AE7369" w:rsidRPr="00FA3FD5" w:rsidTr="005106D1">
        <w:trPr>
          <w:trHeight w:val="555"/>
          <w:jc w:val="center"/>
        </w:trPr>
        <w:tc>
          <w:tcPr>
            <w:tcW w:w="2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369" w:rsidRPr="00F775AA" w:rsidRDefault="00AE7369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сумма на человека, USD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369" w:rsidRPr="00F775AA" w:rsidRDefault="00AE7369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Страховая премия</w:t>
            </w:r>
          </w:p>
        </w:tc>
        <w:tc>
          <w:tcPr>
            <w:tcW w:w="2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369" w:rsidRPr="00F775AA" w:rsidRDefault="00AE7369" w:rsidP="005106D1">
            <w:pPr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F775AA">
              <w:rPr>
                <w:rFonts w:ascii="Times New Roman" w:hAnsi="Times New Roman"/>
                <w:b/>
                <w:color w:val="000000"/>
              </w:rPr>
              <w:t>Франшиза</w:t>
            </w:r>
          </w:p>
        </w:tc>
      </w:tr>
      <w:tr w:rsidR="00AE7369" w:rsidRPr="00FA3FD5" w:rsidTr="005106D1">
        <w:trPr>
          <w:trHeight w:hRule="exact" w:val="284"/>
          <w:jc w:val="center"/>
        </w:trPr>
        <w:tc>
          <w:tcPr>
            <w:tcW w:w="28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E7369" w:rsidRPr="00FA3FD5" w:rsidRDefault="00AE7369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 3000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369" w:rsidRPr="00FA3FD5" w:rsidRDefault="00AE7369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USD</w:t>
            </w:r>
          </w:p>
        </w:tc>
        <w:tc>
          <w:tcPr>
            <w:tcW w:w="2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369" w:rsidRPr="00FA3FD5" w:rsidRDefault="00AE7369" w:rsidP="005106D1">
            <w:pPr>
              <w:jc w:val="center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0%</w:t>
            </w:r>
          </w:p>
        </w:tc>
      </w:tr>
    </w:tbl>
    <w:p w:rsidR="00AE7369" w:rsidRDefault="00AE7369" w:rsidP="00AE7369">
      <w:pPr>
        <w:jc w:val="both"/>
        <w:rPr>
          <w:rFonts w:ascii="Times New Roman" w:hAnsi="Times New Roman"/>
        </w:rPr>
      </w:pPr>
    </w:p>
    <w:p w:rsidR="00AE7369" w:rsidRPr="00EA3245" w:rsidRDefault="00AE7369" w:rsidP="00AE7369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В настоящий продукт включены следующие риски:</w:t>
      </w:r>
    </w:p>
    <w:p w:rsidR="00AE7369" w:rsidRPr="00EA3245" w:rsidRDefault="00AE7369" w:rsidP="00AE7369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t>- первичный отказ в визе, принятый до начала поездки в отношении застрахованного лица, выезжающих с ним супруга / супруги, их несовершеннолетних детей;</w:t>
      </w:r>
    </w:p>
    <w:p w:rsidR="00AE7369" w:rsidRDefault="00AE7369" w:rsidP="00AE7369">
      <w:pPr>
        <w:jc w:val="both"/>
        <w:rPr>
          <w:rFonts w:ascii="Times New Roman" w:hAnsi="Times New Roman"/>
        </w:rPr>
      </w:pPr>
      <w:r w:rsidRPr="00EA3245">
        <w:rPr>
          <w:rFonts w:ascii="Times New Roman" w:hAnsi="Times New Roman"/>
        </w:rPr>
        <w:lastRenderedPageBreak/>
        <w:t>- возникновение непредвиденных расходов, связанных с отменой поездки, изменением сроков пребывания за границей (перенос начала поездки на более позднюю дату) в связи с первичным отказом в визе принятом после начала поездки в отношении застрахованного лица, выезжающих с ним супруга / супруги, их несовершеннолетних детей.</w:t>
      </w:r>
    </w:p>
    <w:p w:rsidR="00060CA7" w:rsidRDefault="00060CA7" w:rsidP="00934C75">
      <w:pPr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  <w:r w:rsidRPr="00060CA7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Страхование отмены или прерывания поездки по программе: </w:t>
      </w:r>
      <w:r w:rsidRPr="00060CA7">
        <w:rPr>
          <w:rFonts w:asciiTheme="minorHAnsi" w:hAnsiTheme="minorHAnsi" w:cstheme="minorHAnsi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060CA7" w:rsidRPr="00060CA7" w:rsidRDefault="00060CA7" w:rsidP="00C06899">
      <w:pPr>
        <w:spacing w:after="0"/>
        <w:rPr>
          <w:rFonts w:asciiTheme="minorHAnsi" w:hAnsiTheme="minorHAnsi" w:cstheme="minorHAnsi"/>
          <w:b/>
          <w:bCs/>
          <w:snapToGrid w:val="0"/>
          <w:color w:val="000000" w:themeColor="text1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966B86" w:rsidTr="00060CA7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B86" w:rsidRPr="00060CA7" w:rsidRDefault="00966B86" w:rsidP="00966B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B86" w:rsidRPr="00C06899" w:rsidRDefault="00966B86" w:rsidP="00966B86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966B86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C06899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1BD">
              <w:rPr>
                <w:rFonts w:ascii="Times New Roman" w:hAnsi="Times New Roman" w:cs="Times New Roman"/>
              </w:rPr>
              <w:t xml:space="preserve">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966B86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966B86" w:rsidTr="00191354">
        <w:trPr>
          <w:trHeight w:hRule="exact" w:val="34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B86" w:rsidRPr="004E01BD" w:rsidRDefault="00966B86" w:rsidP="00966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принятого после вступления Договора страхования в силу, в качестве свидетеля, эксперта, специалиста, переводчика;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призывом Застрахованного на срочную военную службу или на военные сборы, при условии подтвержденного получения Застрахованным уведомления (повестки) после вступления Договора страхования в силу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9671C4" w:rsidRPr="00AB7424" w:rsidRDefault="009671C4" w:rsidP="009671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lastRenderedPageBreak/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9671C4" w:rsidRPr="00AB7424" w:rsidRDefault="009671C4" w:rsidP="009671C4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9671C4" w:rsidRPr="00AB7424" w:rsidRDefault="009671C4" w:rsidP="009671C4">
      <w:pPr>
        <w:tabs>
          <w:tab w:val="left" w:pos="-142"/>
        </w:tabs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9671C4" w:rsidRDefault="009671C4" w:rsidP="009671C4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9671C4" w:rsidRPr="00652AE3" w:rsidRDefault="009671C4" w:rsidP="009671C4">
      <w:pPr>
        <w:spacing w:after="0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</w:p>
    <w:p w:rsidR="009671C4" w:rsidRDefault="009671C4" w:rsidP="009671C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9671C4" w:rsidRDefault="009671C4" w:rsidP="009671C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9671C4" w:rsidRDefault="009671C4" w:rsidP="009671C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наступлении страхового случая по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в Сервисный Центр и строго следовать рекомендациям сотрудников Сервисного центра.</w:t>
      </w:r>
    </w:p>
    <w:p w:rsidR="009671C4" w:rsidRDefault="009671C4" w:rsidP="009671C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9671C4" w:rsidRDefault="009671C4" w:rsidP="009671C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9671C4" w:rsidRDefault="009671C4" w:rsidP="009671C4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671C4" w:rsidRPr="00A751CB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При наступлении страхового случая по программе </w:t>
      </w:r>
      <w:r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в турагентство </w:t>
      </w:r>
      <w:r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9671C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671C4" w:rsidRPr="00973A3F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671C4" w:rsidRPr="00A751CB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671C4" w:rsidRDefault="009671C4" w:rsidP="009671C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При самостоятельной оплате медицинских услуг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671C4" w:rsidRPr="004A6ADE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9671C4" w:rsidRPr="00A751CB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671C4" w:rsidRDefault="009671C4" w:rsidP="009671C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671C4" w:rsidRDefault="009671C4" w:rsidP="009671C4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• Договор на туристическое облуживание;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671C4" w:rsidRPr="00A751CB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671C4" w:rsidRPr="004B4312" w:rsidRDefault="009671C4" w:rsidP="009671C4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671C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671C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671C4" w:rsidRPr="00C41C85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9671C4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подаче документов по Отмене поездки </w:t>
      </w: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9671C4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9671C4" w:rsidRDefault="009671C4" w:rsidP="009671C4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9671C4" w:rsidRPr="005370FB" w:rsidRDefault="009671C4" w:rsidP="009671C4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9671C4" w:rsidRPr="003070A5" w:rsidRDefault="009671C4" w:rsidP="009671C4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9671C4" w:rsidRPr="00AB742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Шаблоны заявлений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получение страхового возмещения: </w:t>
      </w:r>
    </w:p>
    <w:p w:rsidR="009671C4" w:rsidRPr="00AB7424" w:rsidRDefault="009671C4" w:rsidP="009671C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Медицинские расходы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https://www.ingos.ru/Upload/info/incident/travel/zvl_na_vplt_med-franshiza.doc</w:t>
      </w:r>
    </w:p>
    <w:p w:rsidR="009671C4" w:rsidRPr="00AB7424" w:rsidRDefault="009671C4" w:rsidP="009671C4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Страхование отмены поездки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https://www.ingos.ru/Upload/info/incident/travel/nvzd.doc</w:t>
      </w:r>
    </w:p>
    <w:p w:rsidR="009671C4" w:rsidRPr="00AB7424" w:rsidRDefault="009671C4" w:rsidP="009671C4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9671C4" w:rsidRPr="00AB7424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9671C4" w:rsidRPr="00AB742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123376, Москва, ул. </w:t>
      </w:r>
      <w:proofErr w:type="spellStart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Рочдельская</w:t>
      </w:r>
      <w:proofErr w:type="spellEnd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15, стр. 35</w:t>
      </w:r>
    </w:p>
    <w:p w:rsidR="009671C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СПАО «Ингосстрах» 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br/>
        <w:t>Отдел урегулирования претензий по личному и имущественному страхованию УУУРБ ДУУРБ</w:t>
      </w:r>
    </w:p>
    <w:p w:rsidR="009671C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9671C4" w:rsidRPr="00AB7424" w:rsidRDefault="009671C4" w:rsidP="009671C4">
      <w:pPr>
        <w:pStyle w:val="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  <w:t>Контакты для обращений по страховым случаям:</w:t>
      </w:r>
    </w:p>
    <w:p w:rsidR="009671C4" w:rsidRPr="00AB7424" w:rsidRDefault="009671C4" w:rsidP="009671C4">
      <w:pPr>
        <w:pStyle w:val="4"/>
        <w:spacing w:before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Пн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Пт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09:00-18:00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Телефон: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hyperlink r:id="rId9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+7 495 956-55-55</w:t>
        </w:r>
      </w:hyperlink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E-</w:t>
      </w:r>
      <w:proofErr w:type="spellStart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mail</w:t>
      </w:r>
      <w:proofErr w:type="spellEnd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: </w:t>
      </w:r>
      <w:hyperlink r:id="rId10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tourclaims@ingos.ru</w:t>
        </w:r>
      </w:hyperlink>
    </w:p>
    <w:p w:rsidR="009671C4" w:rsidRPr="00AB7424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9671C4" w:rsidRPr="009D0892" w:rsidRDefault="009671C4" w:rsidP="009671C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</w:pPr>
      <w:r w:rsidRPr="009D089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ru-RU"/>
        </w:rPr>
        <w:t>Внимание!</w:t>
      </w:r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 В офисе по адресу г. Москва, ул. </w:t>
      </w:r>
      <w:proofErr w:type="spellStart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>Рочдельская</w:t>
      </w:r>
      <w:proofErr w:type="spellEnd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, д.15, стр. 35 прием клиентов по страхованию путешествующих временно приостановлен. Просим направлять обращения дистанционно по электронной почте или пакетом документов по адресу офиса. </w:t>
      </w:r>
    </w:p>
    <w:p w:rsidR="009671C4" w:rsidRPr="00AB7424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:rsidR="009671C4" w:rsidRPr="00AB7424" w:rsidRDefault="009671C4" w:rsidP="009671C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9671C4" w:rsidRPr="00AB7424" w:rsidRDefault="009671C4" w:rsidP="009671C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9671C4" w:rsidRPr="00AB7424" w:rsidRDefault="009671C4" w:rsidP="009671C4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9671C4" w:rsidRPr="00A751CB" w:rsidRDefault="009671C4" w:rsidP="009671C4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3228A" w:rsidRPr="00A751CB" w:rsidRDefault="0013228A" w:rsidP="009671C4">
      <w:pPr>
        <w:spacing w:after="0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sectPr w:rsidR="0013228A" w:rsidRPr="00A751CB" w:rsidSect="00051053">
      <w:footerReference w:type="default" r:id="rId11"/>
      <w:pgSz w:w="11906" w:h="16838"/>
      <w:pgMar w:top="14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46" w:rsidRDefault="003C0346" w:rsidP="00440378">
      <w:pPr>
        <w:spacing w:after="0" w:line="240" w:lineRule="auto"/>
      </w:pPr>
      <w:r>
        <w:separator/>
      </w:r>
    </w:p>
  </w:endnote>
  <w:endnote w:type="continuationSeparator" w:id="0">
    <w:p w:rsidR="003C0346" w:rsidRDefault="003C0346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651776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1C4">
          <w:rPr>
            <w:noProof/>
          </w:rPr>
          <w:t>5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46" w:rsidRDefault="003C0346" w:rsidP="00440378">
      <w:pPr>
        <w:spacing w:after="0" w:line="240" w:lineRule="auto"/>
      </w:pPr>
      <w:r>
        <w:separator/>
      </w:r>
    </w:p>
  </w:footnote>
  <w:footnote w:type="continuationSeparator" w:id="0">
    <w:p w:rsidR="003C0346" w:rsidRDefault="003C0346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436C"/>
    <w:multiLevelType w:val="hybridMultilevel"/>
    <w:tmpl w:val="45DEA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6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9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9"/>
  </w:num>
  <w:num w:numId="5">
    <w:abstractNumId w:val="30"/>
  </w:num>
  <w:num w:numId="6">
    <w:abstractNumId w:val="12"/>
  </w:num>
  <w:num w:numId="7">
    <w:abstractNumId w:val="14"/>
  </w:num>
  <w:num w:numId="8">
    <w:abstractNumId w:val="1"/>
  </w:num>
  <w:num w:numId="9">
    <w:abstractNumId w:val="34"/>
  </w:num>
  <w:num w:numId="10">
    <w:abstractNumId w:val="7"/>
  </w:num>
  <w:num w:numId="11">
    <w:abstractNumId w:val="8"/>
  </w:num>
  <w:num w:numId="12">
    <w:abstractNumId w:val="22"/>
  </w:num>
  <w:num w:numId="13">
    <w:abstractNumId w:val="36"/>
  </w:num>
  <w:num w:numId="14">
    <w:abstractNumId w:val="4"/>
  </w:num>
  <w:num w:numId="15">
    <w:abstractNumId w:val="32"/>
  </w:num>
  <w:num w:numId="16">
    <w:abstractNumId w:val="11"/>
  </w:num>
  <w:num w:numId="17">
    <w:abstractNumId w:val="33"/>
  </w:num>
  <w:num w:numId="18">
    <w:abstractNumId w:val="37"/>
  </w:num>
  <w:num w:numId="19">
    <w:abstractNumId w:val="0"/>
  </w:num>
  <w:num w:numId="20">
    <w:abstractNumId w:val="23"/>
  </w:num>
  <w:num w:numId="21">
    <w:abstractNumId w:val="28"/>
  </w:num>
  <w:num w:numId="22">
    <w:abstractNumId w:val="27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5"/>
  </w:num>
  <w:num w:numId="24">
    <w:abstractNumId w:val="21"/>
  </w:num>
  <w:num w:numId="25">
    <w:abstractNumId w:val="35"/>
  </w:num>
  <w:num w:numId="26">
    <w:abstractNumId w:val="24"/>
  </w:num>
  <w:num w:numId="27">
    <w:abstractNumId w:val="2"/>
  </w:num>
  <w:num w:numId="28">
    <w:abstractNumId w:val="19"/>
  </w:num>
  <w:num w:numId="29">
    <w:abstractNumId w:val="10"/>
  </w:num>
  <w:num w:numId="30">
    <w:abstractNumId w:val="18"/>
  </w:num>
  <w:num w:numId="31">
    <w:abstractNumId w:val="17"/>
  </w:num>
  <w:num w:numId="32">
    <w:abstractNumId w:val="38"/>
  </w:num>
  <w:num w:numId="33">
    <w:abstractNumId w:val="15"/>
  </w:num>
  <w:num w:numId="34">
    <w:abstractNumId w:val="31"/>
  </w:num>
  <w:num w:numId="35">
    <w:abstractNumId w:val="20"/>
  </w:num>
  <w:num w:numId="36">
    <w:abstractNumId w:val="16"/>
  </w:num>
  <w:num w:numId="37">
    <w:abstractNumId w:val="26"/>
  </w:num>
  <w:num w:numId="38">
    <w:abstractNumId w:val="5"/>
  </w:num>
  <w:num w:numId="39">
    <w:abstractNumId w:val="13"/>
  </w:num>
  <w:num w:numId="40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16B19"/>
    <w:rsid w:val="00051053"/>
    <w:rsid w:val="00060CA7"/>
    <w:rsid w:val="00071AFE"/>
    <w:rsid w:val="00077FA9"/>
    <w:rsid w:val="000D7063"/>
    <w:rsid w:val="00114C4B"/>
    <w:rsid w:val="001156D1"/>
    <w:rsid w:val="001173E1"/>
    <w:rsid w:val="00130DC4"/>
    <w:rsid w:val="0013228A"/>
    <w:rsid w:val="0013762C"/>
    <w:rsid w:val="00143727"/>
    <w:rsid w:val="00155C1C"/>
    <w:rsid w:val="00185563"/>
    <w:rsid w:val="00191354"/>
    <w:rsid w:val="001B37BB"/>
    <w:rsid w:val="001B3F85"/>
    <w:rsid w:val="001B4796"/>
    <w:rsid w:val="001C2D50"/>
    <w:rsid w:val="001D4C7A"/>
    <w:rsid w:val="001E2EFD"/>
    <w:rsid w:val="002166CE"/>
    <w:rsid w:val="00244012"/>
    <w:rsid w:val="00280813"/>
    <w:rsid w:val="00282122"/>
    <w:rsid w:val="00291CD3"/>
    <w:rsid w:val="002B07D8"/>
    <w:rsid w:val="002B7604"/>
    <w:rsid w:val="00342028"/>
    <w:rsid w:val="00372F1F"/>
    <w:rsid w:val="0038088F"/>
    <w:rsid w:val="00380A02"/>
    <w:rsid w:val="003A311E"/>
    <w:rsid w:val="003C0346"/>
    <w:rsid w:val="003C5869"/>
    <w:rsid w:val="003C71DF"/>
    <w:rsid w:val="003E765D"/>
    <w:rsid w:val="003F4541"/>
    <w:rsid w:val="003F465C"/>
    <w:rsid w:val="00401302"/>
    <w:rsid w:val="00403C94"/>
    <w:rsid w:val="004237CF"/>
    <w:rsid w:val="00440378"/>
    <w:rsid w:val="00443753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F085A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D399B"/>
    <w:rsid w:val="008559A7"/>
    <w:rsid w:val="00886A1B"/>
    <w:rsid w:val="008A1300"/>
    <w:rsid w:val="008D76BA"/>
    <w:rsid w:val="00934C75"/>
    <w:rsid w:val="00935F37"/>
    <w:rsid w:val="009662F8"/>
    <w:rsid w:val="00966B86"/>
    <w:rsid w:val="009671C4"/>
    <w:rsid w:val="00973A3F"/>
    <w:rsid w:val="00987F26"/>
    <w:rsid w:val="009A2332"/>
    <w:rsid w:val="009A5212"/>
    <w:rsid w:val="009B0CA3"/>
    <w:rsid w:val="009B5454"/>
    <w:rsid w:val="009C5CD0"/>
    <w:rsid w:val="009E090F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51CB"/>
    <w:rsid w:val="00A80123"/>
    <w:rsid w:val="00A97A57"/>
    <w:rsid w:val="00AA63C7"/>
    <w:rsid w:val="00AE0078"/>
    <w:rsid w:val="00AE7369"/>
    <w:rsid w:val="00AF56CB"/>
    <w:rsid w:val="00B01819"/>
    <w:rsid w:val="00B02F7D"/>
    <w:rsid w:val="00B32BF5"/>
    <w:rsid w:val="00B463D1"/>
    <w:rsid w:val="00B90A3E"/>
    <w:rsid w:val="00BA41FF"/>
    <w:rsid w:val="00BD0689"/>
    <w:rsid w:val="00C06899"/>
    <w:rsid w:val="00C311A8"/>
    <w:rsid w:val="00C41C85"/>
    <w:rsid w:val="00C46AF6"/>
    <w:rsid w:val="00C7796E"/>
    <w:rsid w:val="00C94AE0"/>
    <w:rsid w:val="00CB2C8C"/>
    <w:rsid w:val="00CC301C"/>
    <w:rsid w:val="00CE6F86"/>
    <w:rsid w:val="00CF2801"/>
    <w:rsid w:val="00D47A17"/>
    <w:rsid w:val="00D61BAC"/>
    <w:rsid w:val="00D710E1"/>
    <w:rsid w:val="00D93857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F206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67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9671C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os.ru/upload/info/pravila_vzr/pravila_vzr_svo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urclaims@ingos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49595655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AA34-9177-4C5D-A501-2A010DAA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6</cp:revision>
  <dcterms:created xsi:type="dcterms:W3CDTF">2018-03-29T15:24:00Z</dcterms:created>
  <dcterms:modified xsi:type="dcterms:W3CDTF">2021-10-18T12:10:00Z</dcterms:modified>
</cp:coreProperties>
</file>